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8BE11" w14:textId="77777777" w:rsidR="007D68BC" w:rsidRDefault="007D68BC" w:rsidP="007D68BC">
      <w:pPr>
        <w:pStyle w:val="Heading1"/>
        <w:jc w:val="center"/>
        <w:rPr>
          <w:b/>
          <w:bCs/>
        </w:rPr>
      </w:pPr>
    </w:p>
    <w:p w14:paraId="17D87D91" w14:textId="77777777" w:rsidR="007D68BC" w:rsidRDefault="007D68BC" w:rsidP="007D68BC">
      <w:pPr>
        <w:pStyle w:val="Heading1"/>
        <w:jc w:val="center"/>
        <w:rPr>
          <w:b/>
          <w:bCs/>
        </w:rPr>
      </w:pPr>
      <w:r w:rsidRPr="004B4E10">
        <w:rPr>
          <w:b/>
          <w:bCs/>
        </w:rPr>
        <w:t>Unwinding of the COVID-19 Public Health Emergency</w:t>
      </w:r>
    </w:p>
    <w:p w14:paraId="6755DDBE" w14:textId="77777777" w:rsidR="007D68BC" w:rsidRPr="006109B6" w:rsidRDefault="007D68BC" w:rsidP="007D68BC">
      <w:pPr>
        <w:jc w:val="center"/>
      </w:pPr>
      <w:r>
        <w:t xml:space="preserve">Questions? Contact Eli Briggs, IDSA director of public policy, at </w:t>
      </w:r>
      <w:hyperlink r:id="rId11" w:history="1">
        <w:r w:rsidRPr="0066253D">
          <w:rPr>
            <w:rStyle w:val="Hyperlink"/>
          </w:rPr>
          <w:t>ebriggs@idsociety.org</w:t>
        </w:r>
      </w:hyperlink>
      <w:r>
        <w:t xml:space="preserve"> </w:t>
      </w:r>
    </w:p>
    <w:p w14:paraId="6428B975" w14:textId="77777777" w:rsidR="007D68BC" w:rsidRDefault="007D68BC" w:rsidP="007D68BC"/>
    <w:p w14:paraId="4FD077DA" w14:textId="102A9CD7" w:rsidR="007D68BC" w:rsidRDefault="007D68BC" w:rsidP="007D68BC">
      <w:pPr>
        <w:pStyle w:val="Heading2"/>
        <w:rPr>
          <w:b/>
          <w:bCs/>
        </w:rPr>
      </w:pPr>
      <w:r>
        <w:rPr>
          <w:b/>
          <w:bCs/>
        </w:rPr>
        <w:t>Table of Contents</w:t>
      </w:r>
    </w:p>
    <w:p w14:paraId="0B92D2B2" w14:textId="21E5B457" w:rsidR="007D68BC" w:rsidRPr="00D812CA" w:rsidRDefault="00000000" w:rsidP="007D68BC">
      <w:pPr>
        <w:pStyle w:val="ListParagraph"/>
        <w:numPr>
          <w:ilvl w:val="0"/>
          <w:numId w:val="9"/>
        </w:numPr>
        <w:rPr>
          <w:sz w:val="22"/>
          <w:szCs w:val="28"/>
        </w:rPr>
      </w:pPr>
      <w:hyperlink w:anchor="_Billing,_Coding,_Documentation" w:history="1">
        <w:r w:rsidR="00D812CA" w:rsidRPr="0000384C">
          <w:rPr>
            <w:rStyle w:val="Hyperlink"/>
            <w:sz w:val="22"/>
            <w:szCs w:val="28"/>
          </w:rPr>
          <w:t>Billing, Coding, Documentation &amp; Other Payment Policies</w:t>
        </w:r>
      </w:hyperlink>
    </w:p>
    <w:p w14:paraId="4F5C183A" w14:textId="7C55DC55" w:rsidR="00D812CA" w:rsidRPr="00D812CA" w:rsidRDefault="00000000" w:rsidP="007D68BC">
      <w:pPr>
        <w:pStyle w:val="ListParagraph"/>
        <w:numPr>
          <w:ilvl w:val="0"/>
          <w:numId w:val="9"/>
        </w:numPr>
        <w:rPr>
          <w:sz w:val="22"/>
          <w:szCs w:val="28"/>
        </w:rPr>
      </w:pPr>
      <w:hyperlink w:anchor="_Telehealth_&amp;_Remote" w:history="1">
        <w:r w:rsidR="00D812CA" w:rsidRPr="0000384C">
          <w:rPr>
            <w:rStyle w:val="Hyperlink"/>
            <w:sz w:val="22"/>
            <w:szCs w:val="28"/>
          </w:rPr>
          <w:t>Telehealth and Remote Service Flexibilities</w:t>
        </w:r>
      </w:hyperlink>
      <w:r w:rsidR="00D812CA" w:rsidRPr="00D812CA">
        <w:rPr>
          <w:sz w:val="22"/>
          <w:szCs w:val="28"/>
        </w:rPr>
        <w:t xml:space="preserve"> </w:t>
      </w:r>
    </w:p>
    <w:p w14:paraId="455606C5" w14:textId="77777777" w:rsidR="0000384C" w:rsidRDefault="00000000" w:rsidP="00D812CA">
      <w:pPr>
        <w:pStyle w:val="ListParagraph"/>
        <w:numPr>
          <w:ilvl w:val="0"/>
          <w:numId w:val="9"/>
        </w:numPr>
        <w:rPr>
          <w:sz w:val="22"/>
          <w:szCs w:val="28"/>
        </w:rPr>
      </w:pPr>
      <w:hyperlink w:anchor="_COVID-19_Testing,_Vaccination," w:history="1">
        <w:r w:rsidR="00D812CA" w:rsidRPr="0000384C">
          <w:rPr>
            <w:rStyle w:val="Hyperlink"/>
            <w:sz w:val="22"/>
            <w:szCs w:val="28"/>
          </w:rPr>
          <w:t>COVID-19 Testing, Vaccination, and Treatment</w:t>
        </w:r>
      </w:hyperlink>
    </w:p>
    <w:p w14:paraId="1ED68830" w14:textId="076B3273" w:rsidR="0000384C" w:rsidRDefault="00000000" w:rsidP="0000384C">
      <w:pPr>
        <w:pStyle w:val="ListParagraph"/>
        <w:numPr>
          <w:ilvl w:val="1"/>
          <w:numId w:val="9"/>
        </w:numPr>
        <w:rPr>
          <w:sz w:val="22"/>
          <w:szCs w:val="28"/>
        </w:rPr>
      </w:pPr>
      <w:hyperlink w:anchor="_Testing" w:history="1">
        <w:r w:rsidR="0000384C" w:rsidRPr="0000384C">
          <w:rPr>
            <w:rStyle w:val="Hyperlink"/>
            <w:sz w:val="22"/>
            <w:szCs w:val="28"/>
          </w:rPr>
          <w:t>Testing</w:t>
        </w:r>
      </w:hyperlink>
      <w:r w:rsidR="0000384C">
        <w:rPr>
          <w:sz w:val="22"/>
          <w:szCs w:val="28"/>
        </w:rPr>
        <w:t xml:space="preserve"> </w:t>
      </w:r>
    </w:p>
    <w:p w14:paraId="76148FCB" w14:textId="4139ABEA" w:rsidR="00D812CA" w:rsidRPr="00D812CA" w:rsidRDefault="00000000" w:rsidP="0000384C">
      <w:pPr>
        <w:pStyle w:val="ListParagraph"/>
        <w:numPr>
          <w:ilvl w:val="1"/>
          <w:numId w:val="9"/>
        </w:numPr>
        <w:rPr>
          <w:sz w:val="22"/>
          <w:szCs w:val="28"/>
        </w:rPr>
      </w:pPr>
      <w:r>
        <w:fldChar w:fldCharType="begin"/>
      </w:r>
      <w:r w:rsidR="00334D29">
        <w:instrText>HYPERLINK  \l "_Vaccination_&amp;_Treatment"</w:instrText>
      </w:r>
      <w:r>
        <w:fldChar w:fldCharType="separate"/>
      </w:r>
      <w:r w:rsidR="0000384C" w:rsidRPr="0000384C">
        <w:rPr>
          <w:rStyle w:val="Hyperlink"/>
          <w:sz w:val="22"/>
          <w:szCs w:val="28"/>
        </w:rPr>
        <w:t>Vaccination &amp; T</w:t>
      </w:r>
      <w:r w:rsidR="0000384C" w:rsidRPr="0000384C">
        <w:rPr>
          <w:rStyle w:val="Hyperlink"/>
          <w:sz w:val="22"/>
          <w:szCs w:val="28"/>
        </w:rPr>
        <w:t>r</w:t>
      </w:r>
      <w:r w:rsidR="0000384C" w:rsidRPr="0000384C">
        <w:rPr>
          <w:rStyle w:val="Hyperlink"/>
          <w:sz w:val="22"/>
          <w:szCs w:val="28"/>
        </w:rPr>
        <w:t xml:space="preserve">eatment </w:t>
      </w:r>
      <w:r>
        <w:rPr>
          <w:rStyle w:val="Hyperlink"/>
          <w:sz w:val="22"/>
          <w:szCs w:val="28"/>
        </w:rPr>
        <w:fldChar w:fldCharType="end"/>
      </w:r>
      <w:r w:rsidR="00D812CA" w:rsidRPr="00D812CA">
        <w:rPr>
          <w:sz w:val="22"/>
          <w:szCs w:val="28"/>
        </w:rPr>
        <w:t xml:space="preserve"> </w:t>
      </w:r>
    </w:p>
    <w:p w14:paraId="3BCC3365" w14:textId="771AFF18" w:rsidR="00D812CA" w:rsidRDefault="00000000" w:rsidP="00D812CA">
      <w:pPr>
        <w:pStyle w:val="ListParagraph"/>
        <w:numPr>
          <w:ilvl w:val="0"/>
          <w:numId w:val="9"/>
        </w:numPr>
        <w:rPr>
          <w:sz w:val="22"/>
          <w:szCs w:val="28"/>
        </w:rPr>
      </w:pPr>
      <w:hyperlink w:anchor="_Medicaid_Coverage" w:history="1">
        <w:r w:rsidR="00D812CA" w:rsidRPr="0000384C">
          <w:rPr>
            <w:rStyle w:val="Hyperlink"/>
            <w:sz w:val="22"/>
            <w:szCs w:val="28"/>
          </w:rPr>
          <w:t>Medicaid Coverage</w:t>
        </w:r>
      </w:hyperlink>
    </w:p>
    <w:p w14:paraId="18F20D48" w14:textId="3223FFC3" w:rsidR="0000384C" w:rsidRDefault="00000000" w:rsidP="00D812CA">
      <w:pPr>
        <w:pStyle w:val="ListParagraph"/>
        <w:numPr>
          <w:ilvl w:val="0"/>
          <w:numId w:val="9"/>
        </w:numPr>
        <w:rPr>
          <w:sz w:val="22"/>
          <w:szCs w:val="28"/>
        </w:rPr>
      </w:pPr>
      <w:hyperlink w:anchor="_COVID-19_Reporting_Requirements" w:history="1">
        <w:r w:rsidR="0000384C" w:rsidRPr="0000384C">
          <w:rPr>
            <w:rStyle w:val="Hyperlink"/>
            <w:sz w:val="22"/>
            <w:szCs w:val="28"/>
          </w:rPr>
          <w:t>COVID-19 Reporting Requirements</w:t>
        </w:r>
      </w:hyperlink>
      <w:r w:rsidR="0000384C">
        <w:rPr>
          <w:sz w:val="22"/>
          <w:szCs w:val="28"/>
        </w:rPr>
        <w:t xml:space="preserve"> </w:t>
      </w:r>
    </w:p>
    <w:p w14:paraId="4A7DB7AB" w14:textId="7E01B69D" w:rsidR="0000384C" w:rsidRPr="00D812CA" w:rsidRDefault="00000000" w:rsidP="00D812CA">
      <w:pPr>
        <w:pStyle w:val="ListParagraph"/>
        <w:numPr>
          <w:ilvl w:val="0"/>
          <w:numId w:val="9"/>
        </w:numPr>
        <w:rPr>
          <w:sz w:val="22"/>
          <w:szCs w:val="28"/>
        </w:rPr>
      </w:pPr>
      <w:hyperlink w:anchor="_Other_Noteworthy_Changes" w:history="1">
        <w:r w:rsidR="0000384C" w:rsidRPr="0000384C">
          <w:rPr>
            <w:rStyle w:val="Hyperlink"/>
            <w:sz w:val="22"/>
            <w:szCs w:val="28"/>
          </w:rPr>
          <w:t>Other Noteworthy Changes</w:t>
        </w:r>
      </w:hyperlink>
      <w:r w:rsidR="0000384C">
        <w:rPr>
          <w:sz w:val="22"/>
          <w:szCs w:val="28"/>
        </w:rPr>
        <w:t xml:space="preserve"> </w:t>
      </w:r>
    </w:p>
    <w:p w14:paraId="1AA9AABE" w14:textId="77777777" w:rsidR="007D68BC" w:rsidRPr="00703B7E" w:rsidRDefault="007D68BC" w:rsidP="007D68BC"/>
    <w:p w14:paraId="5AECBF9A" w14:textId="7AB8374F" w:rsidR="00671504" w:rsidRDefault="00671504" w:rsidP="00671504">
      <w:pPr>
        <w:pStyle w:val="Heading2"/>
        <w:rPr>
          <w:b/>
          <w:bCs/>
        </w:rPr>
      </w:pPr>
      <w:bookmarkStart w:id="0" w:name="_Billing,_Coding,_Documentation"/>
      <w:bookmarkEnd w:id="0"/>
      <w:r w:rsidRPr="004B4E10">
        <w:rPr>
          <w:b/>
          <w:bCs/>
        </w:rPr>
        <w:t>Billing, Coding</w:t>
      </w:r>
      <w:r w:rsidR="007F5369">
        <w:rPr>
          <w:b/>
          <w:bCs/>
        </w:rPr>
        <w:t>, Documentation</w:t>
      </w:r>
      <w:r w:rsidRPr="004B4E10">
        <w:rPr>
          <w:b/>
          <w:bCs/>
        </w:rPr>
        <w:t xml:space="preserve"> </w:t>
      </w:r>
      <w:r w:rsidR="00893EA8">
        <w:rPr>
          <w:b/>
          <w:bCs/>
        </w:rPr>
        <w:t>&amp; Other</w:t>
      </w:r>
      <w:r w:rsidRPr="004B4E10">
        <w:rPr>
          <w:b/>
          <w:bCs/>
        </w:rPr>
        <w:t xml:space="preserve"> </w:t>
      </w:r>
      <w:r w:rsidR="00893EA8">
        <w:rPr>
          <w:b/>
          <w:bCs/>
        </w:rPr>
        <w:t>Payment Policies</w:t>
      </w:r>
    </w:p>
    <w:tbl>
      <w:tblPr>
        <w:tblStyle w:val="TableGrid"/>
        <w:tblW w:w="13315" w:type="dxa"/>
        <w:tblLayout w:type="fixed"/>
        <w:tblLook w:val="04A0" w:firstRow="1" w:lastRow="0" w:firstColumn="1" w:lastColumn="0" w:noHBand="0" w:noVBand="1"/>
      </w:tblPr>
      <w:tblGrid>
        <w:gridCol w:w="8905"/>
        <w:gridCol w:w="4410"/>
      </w:tblGrid>
      <w:tr w:rsidR="00D04B85" w:rsidRPr="00703B7E" w14:paraId="5DCB9FE2" w14:textId="6301FCAE" w:rsidTr="00D04B85">
        <w:tc>
          <w:tcPr>
            <w:tcW w:w="8905" w:type="dxa"/>
          </w:tcPr>
          <w:p w14:paraId="2CBDD8DD" w14:textId="77777777" w:rsidR="00D04B85" w:rsidRDefault="00D04B85" w:rsidP="00D04B85">
            <w:r>
              <w:t>“</w:t>
            </w:r>
            <w:r w:rsidRPr="00F25345">
              <w:rPr>
                <w:b/>
                <w:bCs/>
              </w:rPr>
              <w:t>Medicare Physician Supervision Requirements</w:t>
            </w:r>
            <w:r w:rsidRPr="00893EA8">
              <w:t xml:space="preserve">: CMS has temporarily modified the regulatory definition of direct supervision, which requires the supervising physician or practitioner to be “immediately available” to furnish assistance and direction during the service, to include </w:t>
            </w:r>
            <w:r w:rsidRPr="00F25345">
              <w:rPr>
                <w:b/>
                <w:bCs/>
              </w:rPr>
              <w:t>“virtual presence”</w:t>
            </w:r>
            <w:r w:rsidRPr="00893EA8">
              <w:t xml:space="preserve"> of the supervising clinician through the use of real- time audio and video technology. </w:t>
            </w:r>
            <w:r w:rsidRPr="00F25345">
              <w:rPr>
                <w:b/>
                <w:bCs/>
                <w:i/>
                <w:iCs/>
              </w:rPr>
              <w:t>This flexibility is currently set to return to pre-PHE rules at the end of the calendar year that the PHE ends.</w:t>
            </w:r>
            <w:r>
              <w:t>”</w:t>
            </w:r>
          </w:p>
          <w:p w14:paraId="7B113282" w14:textId="77777777" w:rsidR="00D04B85" w:rsidRDefault="00D04B85" w:rsidP="00D04B85"/>
        </w:tc>
        <w:tc>
          <w:tcPr>
            <w:tcW w:w="4410" w:type="dxa"/>
          </w:tcPr>
          <w:p w14:paraId="54D87447" w14:textId="5AE94D37" w:rsidR="00D04B85" w:rsidRPr="00703B7E" w:rsidRDefault="00D04B85" w:rsidP="00D04B85">
            <w:pPr>
              <w:rPr>
                <w:lang w:val="fr-FR"/>
              </w:rPr>
            </w:pPr>
            <w:proofErr w:type="gramStart"/>
            <w:r w:rsidRPr="00703B7E">
              <w:rPr>
                <w:b/>
                <w:bCs/>
                <w:lang w:val="fr-FR"/>
              </w:rPr>
              <w:t>SOURCE:</w:t>
            </w:r>
            <w:proofErr w:type="gramEnd"/>
            <w:r w:rsidRPr="00703B7E">
              <w:rPr>
                <w:lang w:val="fr-FR"/>
              </w:rPr>
              <w:t xml:space="preserve"> </w:t>
            </w:r>
            <w:hyperlink r:id="rId12" w:history="1">
              <w:r w:rsidRPr="00A7399F">
                <w:rPr>
                  <w:rStyle w:val="Hyperlink"/>
                  <w:lang w:val="fr-FR"/>
                </w:rPr>
                <w:t>https://www.cms.gov/files/document/physicians-and-other-clinicians-cms-flexi</w:t>
              </w:r>
              <w:r w:rsidRPr="00A7399F">
                <w:rPr>
                  <w:rStyle w:val="Hyperlink"/>
                  <w:lang w:val="fr-FR"/>
                </w:rPr>
                <w:t>b</w:t>
              </w:r>
              <w:r w:rsidRPr="00A7399F">
                <w:rPr>
                  <w:rStyle w:val="Hyperlink"/>
                  <w:lang w:val="fr-FR"/>
                </w:rPr>
                <w:t>ilities-fight-covid-19.pdf</w:t>
              </w:r>
            </w:hyperlink>
            <w:r w:rsidRPr="00703B7E">
              <w:rPr>
                <w:lang w:val="fr-FR"/>
              </w:rPr>
              <w:t xml:space="preserve"> </w:t>
            </w:r>
          </w:p>
          <w:p w14:paraId="5E4779CC" w14:textId="77777777" w:rsidR="00D04B85" w:rsidRPr="00703B7E" w:rsidRDefault="00D04B85" w:rsidP="00D04B85">
            <w:pPr>
              <w:rPr>
                <w:lang w:val="fr-FR"/>
              </w:rPr>
            </w:pPr>
          </w:p>
        </w:tc>
      </w:tr>
      <w:tr w:rsidR="00D04B85" w:rsidRPr="00703B7E" w14:paraId="0695EA35" w14:textId="77187819" w:rsidTr="00D04B85">
        <w:tc>
          <w:tcPr>
            <w:tcW w:w="8905" w:type="dxa"/>
          </w:tcPr>
          <w:p w14:paraId="3DF91D3B" w14:textId="77777777" w:rsidR="00D04B85" w:rsidRPr="00F25345" w:rsidRDefault="00D04B85" w:rsidP="00D04B85">
            <w:pPr>
              <w:rPr>
                <w:b/>
                <w:bCs/>
              </w:rPr>
            </w:pPr>
            <w:r>
              <w:t>“</w:t>
            </w:r>
            <w:r w:rsidRPr="00F25345">
              <w:rPr>
                <w:b/>
                <w:bCs/>
              </w:rPr>
              <w:t>Medicare Physician Supervision and Auxiliary Personnel</w:t>
            </w:r>
            <w:r>
              <w:t xml:space="preserve">: The physician could have entered into a </w:t>
            </w:r>
            <w:r w:rsidRPr="00F25345">
              <w:rPr>
                <w:b/>
                <w:bCs/>
              </w:rPr>
              <w:t xml:space="preserve">contractual arrangement </w:t>
            </w:r>
            <w:r>
              <w:t xml:space="preserve">that meets the definition of </w:t>
            </w:r>
            <w:r w:rsidRPr="00F25345">
              <w:t>auxiliary personnel</w:t>
            </w:r>
            <w:r>
              <w:t xml:space="preserve"> at 42 CFR § 410.26, including with staff of another provider/supplier types, such as a home health agency (defined under § 1861(o) of the Act) or a qualified home infusion therapy supplier (defined under § 1861(iii)(3)(D)), or entities that furnish ambulance services, which can provide the staff and technology necessary to provide care that, ordinarily, would have been provided incident to a physician’s service (including services that are allowed to be performed via telehealth). In such instances, </w:t>
            </w:r>
            <w:r w:rsidRPr="00F25345">
              <w:rPr>
                <w:b/>
                <w:bCs/>
              </w:rPr>
              <w:t>the provider/supplier would have sought payment for any services provided by auxiliary personnel from the billing practitioner and would not have submitted claims to Medicare for such services.</w:t>
            </w:r>
          </w:p>
          <w:p w14:paraId="18E3273E" w14:textId="77777777" w:rsidR="00D04B85" w:rsidRDefault="00D04B85" w:rsidP="00D04B85"/>
          <w:p w14:paraId="5D6541F3" w14:textId="77777777" w:rsidR="00D04B85" w:rsidRDefault="00D04B85" w:rsidP="00F25345">
            <w:pPr>
              <w:pStyle w:val="ListParagraph"/>
              <w:numPr>
                <w:ilvl w:val="0"/>
                <w:numId w:val="8"/>
              </w:numPr>
            </w:pPr>
            <w:r w:rsidRPr="00F25345">
              <w:rPr>
                <w:b/>
                <w:bCs/>
              </w:rPr>
              <w:lastRenderedPageBreak/>
              <w:t>Obtaining Beneficiary Consent</w:t>
            </w:r>
            <w:r>
              <w:t xml:space="preserve">: During the PHE, </w:t>
            </w:r>
            <w:r w:rsidRPr="00F25345">
              <w:rPr>
                <w:b/>
                <w:bCs/>
              </w:rPr>
              <w:t>informed consent</w:t>
            </w:r>
            <w:r>
              <w:t xml:space="preserve"> to receive services furnished by auxiliary personnel, including for example CCM services, must have been obtained prior to the start of the service. Consent has not had to be obtained at the required initiating visit for CCM that must be performed by the billing practitioner, but it could have been obtained at that time. Since the billing practitioner discusses CCM with the beneficiary during the initiating visit, if consent has been separately obtained, it may have been obtained under general supervision and could have been verbal if it was documented in the medical record and included notification of the required information. Further, there need not be an employment relationship between the person obtaining the consent and the billing practitioner. </w:t>
            </w:r>
            <w:r w:rsidRPr="00F25345">
              <w:rPr>
                <w:b/>
                <w:bCs/>
                <w:i/>
                <w:iCs/>
              </w:rPr>
              <w:t>This flexibility is currently set to return to pre-PHE rules at the end of the calendar year that the PHE ends.</w:t>
            </w:r>
            <w:r>
              <w:t>”</w:t>
            </w:r>
          </w:p>
          <w:p w14:paraId="67C18847" w14:textId="77777777" w:rsidR="00D04B85" w:rsidRDefault="00D04B85" w:rsidP="00D04B85"/>
        </w:tc>
        <w:tc>
          <w:tcPr>
            <w:tcW w:w="4410" w:type="dxa"/>
          </w:tcPr>
          <w:p w14:paraId="26CFA268" w14:textId="73903651" w:rsidR="00D04B85" w:rsidRPr="00703B7E" w:rsidRDefault="00D04B85" w:rsidP="00D04B85">
            <w:pPr>
              <w:rPr>
                <w:lang w:val="fr-FR"/>
              </w:rPr>
            </w:pPr>
            <w:proofErr w:type="gramStart"/>
            <w:r w:rsidRPr="00703B7E">
              <w:rPr>
                <w:b/>
                <w:bCs/>
                <w:lang w:val="fr-FR"/>
              </w:rPr>
              <w:lastRenderedPageBreak/>
              <w:t>SOURCE:</w:t>
            </w:r>
            <w:proofErr w:type="gramEnd"/>
            <w:r w:rsidRPr="00703B7E">
              <w:rPr>
                <w:lang w:val="fr-FR"/>
              </w:rPr>
              <w:t xml:space="preserve"> </w:t>
            </w:r>
            <w:hyperlink r:id="rId13" w:history="1">
              <w:r w:rsidRPr="00703B7E">
                <w:rPr>
                  <w:rStyle w:val="Hyperlink"/>
                  <w:lang w:val="fr-FR"/>
                </w:rPr>
                <w:t>https://www.cms.gov/files/document/physicians-and-other-clinicians-cms-flexibilities-fight-covid-19.pdf</w:t>
              </w:r>
            </w:hyperlink>
            <w:r w:rsidRPr="00703B7E">
              <w:rPr>
                <w:lang w:val="fr-FR"/>
              </w:rPr>
              <w:t xml:space="preserve"> </w:t>
            </w:r>
          </w:p>
          <w:p w14:paraId="00C453FE" w14:textId="77777777" w:rsidR="00D04B85" w:rsidRPr="00703B7E" w:rsidRDefault="00D04B85" w:rsidP="00D04B85">
            <w:pPr>
              <w:rPr>
                <w:lang w:val="fr-FR"/>
              </w:rPr>
            </w:pPr>
          </w:p>
        </w:tc>
      </w:tr>
    </w:tbl>
    <w:p w14:paraId="796A1B3F" w14:textId="77777777" w:rsidR="00893EA8" w:rsidRPr="00703B7E" w:rsidRDefault="00893EA8" w:rsidP="00893EA8">
      <w:pPr>
        <w:rPr>
          <w:lang w:val="fr-FR"/>
        </w:rPr>
      </w:pPr>
    </w:p>
    <w:p w14:paraId="440BBB16" w14:textId="1E8B42DD" w:rsidR="00671504" w:rsidRDefault="00671504" w:rsidP="00671504">
      <w:pPr>
        <w:pStyle w:val="Heading2"/>
        <w:rPr>
          <w:b/>
          <w:bCs/>
        </w:rPr>
      </w:pPr>
      <w:bookmarkStart w:id="1" w:name="_Telehealth_&amp;_Remote"/>
      <w:bookmarkEnd w:id="1"/>
      <w:r w:rsidRPr="00893EA8">
        <w:rPr>
          <w:b/>
          <w:bCs/>
        </w:rPr>
        <w:t xml:space="preserve">Telehealth </w:t>
      </w:r>
      <w:r w:rsidR="00182FD9">
        <w:rPr>
          <w:b/>
          <w:bCs/>
        </w:rPr>
        <w:t xml:space="preserve">&amp; </w:t>
      </w:r>
      <w:r w:rsidR="005A029C">
        <w:rPr>
          <w:b/>
          <w:bCs/>
        </w:rPr>
        <w:t>Remote</w:t>
      </w:r>
      <w:r w:rsidR="00182FD9">
        <w:rPr>
          <w:b/>
          <w:bCs/>
        </w:rPr>
        <w:t xml:space="preserve"> Service </w:t>
      </w:r>
      <w:r w:rsidRPr="00893EA8">
        <w:rPr>
          <w:b/>
          <w:bCs/>
        </w:rPr>
        <w:t>Flexibilities</w:t>
      </w:r>
    </w:p>
    <w:tbl>
      <w:tblPr>
        <w:tblStyle w:val="TableGrid"/>
        <w:tblW w:w="13315" w:type="dxa"/>
        <w:tblLook w:val="04A0" w:firstRow="1" w:lastRow="0" w:firstColumn="1" w:lastColumn="0" w:noHBand="0" w:noVBand="1"/>
      </w:tblPr>
      <w:tblGrid>
        <w:gridCol w:w="8905"/>
        <w:gridCol w:w="4410"/>
      </w:tblGrid>
      <w:tr w:rsidR="00D04B85" w:rsidRPr="00703B7E" w14:paraId="1418DEDE" w14:textId="77777777" w:rsidTr="00BD12A9">
        <w:tc>
          <w:tcPr>
            <w:tcW w:w="8905" w:type="dxa"/>
          </w:tcPr>
          <w:p w14:paraId="4767C0F2" w14:textId="4D3BBBDB" w:rsidR="00D04B85" w:rsidRDefault="00D04B85" w:rsidP="00D04B85">
            <w:r>
              <w:t xml:space="preserve">“During the PHE, the Secretary has been using the waiver authority under section 1135 of the Act to create flexibilities in the requirements of section 1834(m) of the Act and 42 CFR § 410.78 for </w:t>
            </w:r>
            <w:r w:rsidRPr="00F25345">
              <w:rPr>
                <w:b/>
                <w:bCs/>
              </w:rPr>
              <w:t>use of interactive telecommunications systems to furnish telehealth services</w:t>
            </w:r>
            <w:r>
              <w:t>. This allows clinicians to furnish more services to beneficiaries via telehealth so that they can take care of their patients while mitigating the risk of the spread of the virus. During the public health emergency, all beneficiaries across the country have been able to receive Medicare telehealth and other communications technology-based services wherever they are located. Additionally,</w:t>
            </w:r>
            <w:r w:rsidR="007F5369">
              <w:t xml:space="preserve"> </w:t>
            </w:r>
            <w:r w:rsidRPr="00F25345">
              <w:rPr>
                <w:b/>
                <w:bCs/>
                <w:i/>
                <w:iCs/>
              </w:rPr>
              <w:t>after the PHE ends, the Consolidated Appropriations Act, 2023 provides for an extension for some of these flexibilities through December 31, 2024</w:t>
            </w:r>
            <w:r>
              <w:t>.</w:t>
            </w:r>
          </w:p>
          <w:p w14:paraId="7261D79B" w14:textId="77777777" w:rsidR="00D04B85" w:rsidRDefault="00D04B85" w:rsidP="00D04B85"/>
          <w:p w14:paraId="2E995CDB" w14:textId="77777777" w:rsidR="00D04B85" w:rsidRDefault="00D04B85" w:rsidP="00D04B85">
            <w:r>
              <w:t xml:space="preserve">CMS has also been using these section 1135 waivers to create further PHE flexibilities to the requirements of section 1834(m)(1) of the Act and 42 CFR § 410.78(a)(3) for the use of interactive telecommunications systems to furnish telehealth services, to the extent they require use of video technology, for certain services. This waiver allows the use of </w:t>
            </w:r>
            <w:r w:rsidRPr="00F25345">
              <w:rPr>
                <w:b/>
                <w:bCs/>
              </w:rPr>
              <w:t>audio-only equipment</w:t>
            </w:r>
            <w:r>
              <w:t xml:space="preserve"> to furnish services described by the codes for audio-only telephone evaluation and management services, and behavioral health counseling and educational services. Unless provided otherwise, other services included on the Medicare Telehealth Services List must be furnished using, at a minimum, audio and video equipment permitting two-way, real-time interactive communication between the patient and distant site. Additionally, </w:t>
            </w:r>
            <w:r w:rsidRPr="00F25345">
              <w:rPr>
                <w:b/>
                <w:bCs/>
                <w:i/>
                <w:iCs/>
              </w:rPr>
              <w:t>after the PHE ends, the Consolidated Appropriations Act, 2023 extends availability of the telehealth services that can be furnished using audio-only technology through December 31, 2024</w:t>
            </w:r>
            <w:r>
              <w:t>.</w:t>
            </w:r>
          </w:p>
          <w:p w14:paraId="4C8C07AA" w14:textId="77777777" w:rsidR="00D04B85" w:rsidRDefault="00D04B85" w:rsidP="00D04B85"/>
          <w:p w14:paraId="330ED0E3" w14:textId="77777777" w:rsidR="00D04B85" w:rsidRDefault="00D04B85" w:rsidP="00D04B85">
            <w:r>
              <w:t xml:space="preserve">In the CY 2022 Physician Fee Schedule Rule, CMS revised the regulation at 42 CFR § 410.78(a)(3) to permit the </w:t>
            </w:r>
            <w:r w:rsidRPr="00F25345">
              <w:rPr>
                <w:b/>
                <w:bCs/>
              </w:rPr>
              <w:t>use of audio-only equipment for telehealth services furnished to patients in their homes</w:t>
            </w:r>
            <w:r>
              <w:t xml:space="preserve"> under certain circumstances for purposes of diagnosis, evaluation, or treatment of a mental health disorder (including substance use disorder). CMS has waived the requirements of section 1834(m)(4)(E) of the Act </w:t>
            </w:r>
            <w:r>
              <w:lastRenderedPageBreak/>
              <w:t xml:space="preserve">and 42 CFR § 410.78 (b)(2), which specify the </w:t>
            </w:r>
            <w:r w:rsidRPr="00F25345">
              <w:rPr>
                <w:b/>
                <w:bCs/>
              </w:rPr>
              <w:t>types of practitioners</w:t>
            </w:r>
            <w:r>
              <w:t xml:space="preserve"> who may bill for their services when furnished as Medicare telehealth services from a distant site. The waiver of these requirements expands the types of health care professionals who can furnish distant site telehealth services to include all those who are eligible to bill Medicare for their professional services. As a result, a broader range of practitioners, such as physical therapists, occupational therapists, and speech language pathologists can use telehealth to provide many Medicare services. </w:t>
            </w:r>
            <w:r w:rsidRPr="00F25345">
              <w:rPr>
                <w:b/>
                <w:bCs/>
                <w:i/>
                <w:iCs/>
              </w:rPr>
              <w:t>After the PHE ends, the Consolidated Appropriations Act, 2023 provides for an extension for this flexibility through December 31, 2024</w:t>
            </w:r>
            <w:r>
              <w:t>.”</w:t>
            </w:r>
          </w:p>
          <w:p w14:paraId="7D1268C1" w14:textId="77777777" w:rsidR="00D04B85" w:rsidRDefault="00D04B85" w:rsidP="00D04B85"/>
        </w:tc>
        <w:tc>
          <w:tcPr>
            <w:tcW w:w="4410" w:type="dxa"/>
          </w:tcPr>
          <w:p w14:paraId="23A99603" w14:textId="77777777" w:rsidR="00D04B85" w:rsidRPr="00703B7E" w:rsidRDefault="00D04B85" w:rsidP="00D04B85">
            <w:pPr>
              <w:rPr>
                <w:lang w:val="fr-FR"/>
              </w:rPr>
            </w:pPr>
            <w:proofErr w:type="gramStart"/>
            <w:r w:rsidRPr="00703B7E">
              <w:rPr>
                <w:b/>
                <w:bCs/>
                <w:lang w:val="fr-FR"/>
              </w:rPr>
              <w:lastRenderedPageBreak/>
              <w:t>SOURCE:</w:t>
            </w:r>
            <w:proofErr w:type="gramEnd"/>
            <w:r w:rsidRPr="00703B7E">
              <w:rPr>
                <w:lang w:val="fr-FR"/>
              </w:rPr>
              <w:t xml:space="preserve"> </w:t>
            </w:r>
            <w:hyperlink r:id="rId14" w:history="1">
              <w:r w:rsidRPr="00703B7E">
                <w:rPr>
                  <w:rStyle w:val="Hyperlink"/>
                  <w:lang w:val="fr-FR"/>
                </w:rPr>
                <w:t>https://www.cms.gov/files/document/physicians-and-other-clinicians-cms-flexibilities-fight-covid-19.pdf</w:t>
              </w:r>
            </w:hyperlink>
            <w:r w:rsidRPr="00703B7E">
              <w:rPr>
                <w:lang w:val="fr-FR"/>
              </w:rPr>
              <w:t xml:space="preserve"> </w:t>
            </w:r>
          </w:p>
          <w:p w14:paraId="4649B105" w14:textId="77777777" w:rsidR="00D04B85" w:rsidRPr="00703B7E" w:rsidRDefault="00D04B85" w:rsidP="00D04B85">
            <w:pPr>
              <w:rPr>
                <w:lang w:val="fr-FR"/>
              </w:rPr>
            </w:pPr>
          </w:p>
        </w:tc>
      </w:tr>
      <w:tr w:rsidR="00182FD9" w:rsidRPr="00703B7E" w14:paraId="08286463" w14:textId="77777777" w:rsidTr="00BD12A9">
        <w:tc>
          <w:tcPr>
            <w:tcW w:w="8905" w:type="dxa"/>
          </w:tcPr>
          <w:p w14:paraId="1B24C4B8" w14:textId="77777777" w:rsidR="00182FD9" w:rsidRPr="00993B2C" w:rsidRDefault="00182FD9" w:rsidP="00D04B85">
            <w:pPr>
              <w:rPr>
                <w:color w:val="000000" w:themeColor="text1"/>
                <w:szCs w:val="20"/>
              </w:rPr>
            </w:pPr>
            <w:r w:rsidRPr="00993B2C">
              <w:rPr>
                <w:color w:val="000000" w:themeColor="text1"/>
                <w:szCs w:val="20"/>
              </w:rPr>
              <w:t xml:space="preserve">“Medicare pays for </w:t>
            </w:r>
            <w:r w:rsidRPr="00993B2C">
              <w:rPr>
                <w:b/>
                <w:bCs/>
                <w:color w:val="000000" w:themeColor="text1"/>
                <w:szCs w:val="20"/>
              </w:rPr>
              <w:t>e-visits</w:t>
            </w:r>
            <w:r w:rsidRPr="00993B2C">
              <w:rPr>
                <w:color w:val="000000" w:themeColor="text1"/>
                <w:szCs w:val="20"/>
              </w:rPr>
              <w:t>, which are brief communication services with practitioners, professionals, clinicians, and providers via a number of communication technology modalities, including synchronous discussion over a telephone or exchange of information through video or image. During the PHE, clinicians can provide remote evaluation of patient video/images and virtual check-in services (HCPCS codes G2010 and G2012 for physicians and G2251 and G2252 are for non-physician practitioners) </w:t>
            </w:r>
            <w:r w:rsidRPr="00993B2C">
              <w:rPr>
                <w:color w:val="000000" w:themeColor="text1"/>
                <w:szCs w:val="20"/>
                <w:u w:val="single"/>
              </w:rPr>
              <w:t>to both new and established patients</w:t>
            </w:r>
            <w:r w:rsidRPr="00993B2C">
              <w:rPr>
                <w:color w:val="000000" w:themeColor="text1"/>
                <w:szCs w:val="20"/>
              </w:rPr>
              <w:t>. </w:t>
            </w:r>
            <w:r w:rsidRPr="00993B2C">
              <w:rPr>
                <w:b/>
                <w:bCs/>
                <w:i/>
                <w:iCs/>
                <w:color w:val="000000" w:themeColor="text1"/>
                <w:szCs w:val="20"/>
              </w:rPr>
              <w:t>After the end of the PHE, these services may only be provided to established patients</w:t>
            </w:r>
            <w:r w:rsidRPr="00993B2C">
              <w:rPr>
                <w:color w:val="000000" w:themeColor="text1"/>
                <w:szCs w:val="20"/>
              </w:rPr>
              <w:t>.”</w:t>
            </w:r>
          </w:p>
          <w:p w14:paraId="1D5C7A91" w14:textId="77777777" w:rsidR="00182FD9" w:rsidRPr="00993B2C" w:rsidRDefault="00182FD9" w:rsidP="00D04B85">
            <w:pPr>
              <w:rPr>
                <w:color w:val="000000" w:themeColor="text1"/>
                <w:szCs w:val="20"/>
              </w:rPr>
            </w:pPr>
          </w:p>
          <w:p w14:paraId="5B6DC140" w14:textId="77777777" w:rsidR="00182FD9" w:rsidRPr="00993B2C" w:rsidRDefault="00182FD9" w:rsidP="00D04B85">
            <w:pPr>
              <w:rPr>
                <w:b/>
                <w:bCs/>
                <w:color w:val="000000" w:themeColor="text1"/>
                <w:szCs w:val="20"/>
                <w:u w:val="single"/>
              </w:rPr>
            </w:pPr>
            <w:r w:rsidRPr="00993B2C">
              <w:rPr>
                <w:b/>
                <w:bCs/>
                <w:color w:val="000000" w:themeColor="text1"/>
                <w:szCs w:val="20"/>
                <w:u w:val="single"/>
              </w:rPr>
              <w:t xml:space="preserve">Code Descriptor References: </w:t>
            </w:r>
          </w:p>
          <w:p w14:paraId="782E6594" w14:textId="77777777" w:rsidR="00182FD9" w:rsidRPr="00993B2C" w:rsidRDefault="00182FD9" w:rsidP="007F5369">
            <w:pPr>
              <w:numPr>
                <w:ilvl w:val="0"/>
                <w:numId w:val="7"/>
              </w:numPr>
              <w:rPr>
                <w:color w:val="000000" w:themeColor="text1"/>
                <w:szCs w:val="20"/>
              </w:rPr>
            </w:pPr>
            <w:r w:rsidRPr="00993B2C">
              <w:rPr>
                <w:b/>
                <w:bCs/>
                <w:color w:val="000000" w:themeColor="text1"/>
                <w:szCs w:val="20"/>
              </w:rPr>
              <w:t>HCPCS G2010</w:t>
            </w:r>
            <w:r w:rsidRPr="00993B2C">
              <w:rPr>
                <w:color w:val="000000" w:themeColor="text1"/>
                <w:szCs w:val="20"/>
              </w:rPr>
              <w:t xml:space="preserve"> (</w:t>
            </w:r>
            <w:r w:rsidRPr="00993B2C">
              <w:rPr>
                <w:i/>
                <w:iCs/>
                <w:color w:val="000000" w:themeColor="text1"/>
                <w:szCs w:val="20"/>
              </w:rPr>
              <w:t>Remote evaluation of recorded video and/or images submitted by an </w:t>
            </w:r>
            <w:r w:rsidRPr="00993B2C">
              <w:rPr>
                <w:i/>
                <w:iCs/>
                <w:color w:val="000000" w:themeColor="text1"/>
                <w:szCs w:val="20"/>
                <w:u w:val="single"/>
              </w:rPr>
              <w:t>established patient</w:t>
            </w:r>
            <w:r w:rsidRPr="00993B2C">
              <w:rPr>
                <w:i/>
                <w:iCs/>
                <w:color w:val="000000" w:themeColor="text1"/>
                <w:szCs w:val="20"/>
              </w:rPr>
              <w:t> (e.g., store and forward), including interpretation with follow-up with the patient within 24 business hours, not originating from a related E/M service provided within the previous 7 days nor leading to an E/M service or procedure within the next 24 hours or soonest available appointment</w:t>
            </w:r>
            <w:r w:rsidRPr="00993B2C">
              <w:rPr>
                <w:color w:val="000000" w:themeColor="text1"/>
                <w:szCs w:val="20"/>
              </w:rPr>
              <w:t>)</w:t>
            </w:r>
          </w:p>
          <w:p w14:paraId="26FBE1BE" w14:textId="77777777" w:rsidR="00182FD9" w:rsidRPr="00993B2C" w:rsidRDefault="00182FD9" w:rsidP="007F5369">
            <w:pPr>
              <w:numPr>
                <w:ilvl w:val="0"/>
                <w:numId w:val="7"/>
              </w:numPr>
              <w:rPr>
                <w:color w:val="000000" w:themeColor="text1"/>
                <w:szCs w:val="20"/>
              </w:rPr>
            </w:pPr>
            <w:r w:rsidRPr="00993B2C">
              <w:rPr>
                <w:b/>
                <w:bCs/>
                <w:color w:val="000000" w:themeColor="text1"/>
                <w:szCs w:val="20"/>
              </w:rPr>
              <w:t>HCPCS G2012</w:t>
            </w:r>
            <w:r w:rsidRPr="00993B2C">
              <w:rPr>
                <w:color w:val="000000" w:themeColor="text1"/>
                <w:szCs w:val="20"/>
              </w:rPr>
              <w:t xml:space="preserve"> (</w:t>
            </w:r>
            <w:r w:rsidRPr="00993B2C">
              <w:rPr>
                <w:i/>
                <w:iCs/>
                <w:color w:val="000000" w:themeColor="text1"/>
                <w:szCs w:val="20"/>
              </w:rPr>
              <w:t>Brief communication technology-based service, e.g., virtual check-in, by a physician or other qualified health care professional who can report evaluation and management services, provided to an </w:t>
            </w:r>
            <w:r w:rsidRPr="00993B2C">
              <w:rPr>
                <w:i/>
                <w:iCs/>
                <w:color w:val="000000" w:themeColor="text1"/>
                <w:szCs w:val="20"/>
                <w:u w:val="single"/>
              </w:rPr>
              <w:t>established patient</w:t>
            </w:r>
            <w:r w:rsidRPr="00993B2C">
              <w:rPr>
                <w:i/>
                <w:iCs/>
                <w:color w:val="000000" w:themeColor="text1"/>
                <w:szCs w:val="20"/>
              </w:rPr>
              <w:t>, not originating from a related E/M service provided within the previous 7 days nor leading to an E/M service or procedure within the next 24 hours or soonest available appointment; 5-10 minutes of medical discussion</w:t>
            </w:r>
            <w:r w:rsidRPr="00993B2C">
              <w:rPr>
                <w:color w:val="000000" w:themeColor="text1"/>
                <w:szCs w:val="20"/>
              </w:rPr>
              <w:t>)</w:t>
            </w:r>
          </w:p>
          <w:p w14:paraId="280FFCFB" w14:textId="77777777" w:rsidR="00182FD9" w:rsidRPr="00993B2C" w:rsidRDefault="00182FD9" w:rsidP="007F5369">
            <w:pPr>
              <w:numPr>
                <w:ilvl w:val="0"/>
                <w:numId w:val="7"/>
              </w:numPr>
              <w:rPr>
                <w:color w:val="000000" w:themeColor="text1"/>
                <w:szCs w:val="20"/>
              </w:rPr>
            </w:pPr>
            <w:r w:rsidRPr="00993B2C">
              <w:rPr>
                <w:b/>
                <w:bCs/>
                <w:color w:val="000000" w:themeColor="text1"/>
                <w:szCs w:val="20"/>
              </w:rPr>
              <w:t>HCPCS G2250</w:t>
            </w:r>
            <w:r w:rsidRPr="00993B2C">
              <w:rPr>
                <w:color w:val="000000" w:themeColor="text1"/>
                <w:szCs w:val="20"/>
              </w:rPr>
              <w:t xml:space="preserve"> (</w:t>
            </w:r>
            <w:r w:rsidRPr="00993B2C">
              <w:rPr>
                <w:i/>
                <w:iCs/>
                <w:color w:val="000000" w:themeColor="text1"/>
                <w:szCs w:val="20"/>
              </w:rPr>
              <w:t>Remote assessment of recorded video and/or images submitted by an </w:t>
            </w:r>
            <w:r w:rsidRPr="00993B2C">
              <w:rPr>
                <w:i/>
                <w:iCs/>
                <w:color w:val="000000" w:themeColor="text1"/>
                <w:szCs w:val="20"/>
                <w:u w:val="single"/>
              </w:rPr>
              <w:t>established patient</w:t>
            </w:r>
            <w:r w:rsidRPr="00993B2C">
              <w:rPr>
                <w:i/>
                <w:iCs/>
                <w:color w:val="000000" w:themeColor="text1"/>
                <w:szCs w:val="20"/>
              </w:rPr>
              <w:t> (e.g., store and forward), including interpretation with follow-up with the patient within 24 business hours, not originating from a related service provided within the previous 7 days nor leading to a service or procedure within the next 24 hours or soonest available appointment.)</w:t>
            </w:r>
          </w:p>
          <w:p w14:paraId="0869038D" w14:textId="77777777" w:rsidR="00182FD9" w:rsidRPr="00993B2C" w:rsidRDefault="00182FD9" w:rsidP="007F5369">
            <w:pPr>
              <w:numPr>
                <w:ilvl w:val="0"/>
                <w:numId w:val="7"/>
              </w:numPr>
              <w:rPr>
                <w:color w:val="000000" w:themeColor="text1"/>
                <w:szCs w:val="20"/>
              </w:rPr>
            </w:pPr>
            <w:r w:rsidRPr="00993B2C">
              <w:rPr>
                <w:b/>
                <w:bCs/>
                <w:color w:val="000000" w:themeColor="text1"/>
                <w:szCs w:val="20"/>
              </w:rPr>
              <w:t>HCPCS G2251</w:t>
            </w:r>
            <w:r w:rsidRPr="00993B2C">
              <w:rPr>
                <w:color w:val="000000" w:themeColor="text1"/>
                <w:szCs w:val="20"/>
              </w:rPr>
              <w:t xml:space="preserve"> (</w:t>
            </w:r>
            <w:r w:rsidRPr="00993B2C">
              <w:rPr>
                <w:i/>
                <w:iCs/>
                <w:color w:val="000000" w:themeColor="text1"/>
                <w:szCs w:val="20"/>
              </w:rPr>
              <w:t xml:space="preserve">Brief communication technology-based service, </w:t>
            </w:r>
            <w:proofErr w:type="gramStart"/>
            <w:r w:rsidRPr="00993B2C">
              <w:rPr>
                <w:i/>
                <w:iCs/>
                <w:color w:val="000000" w:themeColor="text1"/>
                <w:szCs w:val="20"/>
              </w:rPr>
              <w:t>e.g.</w:t>
            </w:r>
            <w:proofErr w:type="gramEnd"/>
            <w:r w:rsidRPr="00993B2C">
              <w:rPr>
                <w:i/>
                <w:iCs/>
                <w:color w:val="000000" w:themeColor="text1"/>
                <w:szCs w:val="20"/>
              </w:rPr>
              <w:t xml:space="preserve"> virtual check-in, by a qualified health care professional who cannot report evaluation and management services, provided to an </w:t>
            </w:r>
            <w:r w:rsidRPr="00993B2C">
              <w:rPr>
                <w:i/>
                <w:iCs/>
                <w:color w:val="000000" w:themeColor="text1"/>
                <w:szCs w:val="20"/>
                <w:u w:val="single"/>
              </w:rPr>
              <w:t>established patient</w:t>
            </w:r>
            <w:r w:rsidRPr="00993B2C">
              <w:rPr>
                <w:i/>
                <w:iCs/>
                <w:color w:val="000000" w:themeColor="text1"/>
                <w:szCs w:val="20"/>
              </w:rPr>
              <w:t>, not originating from a related e/m service provided within the previous 7 days nor leading to a service or procedure within the next 24 hours or soonest available appointment; 5-10 minutes of medical discussion).</w:t>
            </w:r>
          </w:p>
          <w:p w14:paraId="08AA2FBB" w14:textId="46523951" w:rsidR="00182FD9" w:rsidRPr="00993B2C" w:rsidRDefault="00182FD9" w:rsidP="00D04B85">
            <w:pPr>
              <w:rPr>
                <w:color w:val="000000" w:themeColor="text1"/>
                <w:szCs w:val="20"/>
              </w:rPr>
            </w:pPr>
          </w:p>
        </w:tc>
        <w:tc>
          <w:tcPr>
            <w:tcW w:w="4410" w:type="dxa"/>
          </w:tcPr>
          <w:p w14:paraId="03F5CF8F" w14:textId="3F6A276B" w:rsidR="00182FD9" w:rsidRPr="00703B7E" w:rsidRDefault="00182FD9" w:rsidP="00D04B85">
            <w:pPr>
              <w:rPr>
                <w:lang w:val="fr-FR"/>
              </w:rPr>
            </w:pPr>
            <w:proofErr w:type="gramStart"/>
            <w:r w:rsidRPr="00703B7E">
              <w:rPr>
                <w:rFonts w:cstheme="minorHAnsi"/>
                <w:b/>
                <w:bCs/>
                <w:color w:val="1B1B1B"/>
                <w:lang w:val="fr-FR"/>
              </w:rPr>
              <w:t>SOURCE</w:t>
            </w:r>
            <w:r w:rsidRPr="00703B7E">
              <w:rPr>
                <w:rFonts w:cstheme="minorHAnsi"/>
                <w:color w:val="1B1B1B"/>
                <w:lang w:val="fr-FR"/>
              </w:rPr>
              <w:t>:</w:t>
            </w:r>
            <w:proofErr w:type="gramEnd"/>
            <w:r w:rsidRPr="00703B7E">
              <w:rPr>
                <w:rFonts w:cstheme="minorHAnsi"/>
                <w:color w:val="1B1B1B"/>
                <w:lang w:val="fr-FR"/>
              </w:rPr>
              <w:t xml:space="preserve"> </w:t>
            </w:r>
            <w:hyperlink r:id="rId15" w:anchor="page=7" w:history="1">
              <w:r w:rsidR="007F5369" w:rsidRPr="00703B7E">
                <w:rPr>
                  <w:rStyle w:val="Hyperlink"/>
                  <w:lang w:val="fr-FR"/>
                </w:rPr>
                <w:t>https://www.cms.gov/files/document/physicians-and-other-clinicians-cms-flexibilities-fight-covid-19.pdf#page=7</w:t>
              </w:r>
            </w:hyperlink>
            <w:r w:rsidR="007F5369" w:rsidRPr="00703B7E">
              <w:rPr>
                <w:color w:val="000000" w:themeColor="text1"/>
                <w:lang w:val="fr-FR"/>
              </w:rPr>
              <w:t xml:space="preserve"> </w:t>
            </w:r>
          </w:p>
        </w:tc>
      </w:tr>
      <w:tr w:rsidR="00D04B85" w:rsidRPr="00703B7E" w14:paraId="545467CB" w14:textId="77777777" w:rsidTr="00BD12A9">
        <w:tc>
          <w:tcPr>
            <w:tcW w:w="8905" w:type="dxa"/>
          </w:tcPr>
          <w:p w14:paraId="3BEBC4E8" w14:textId="77777777" w:rsidR="00D04B85" w:rsidRPr="001756F7" w:rsidRDefault="00D04B85" w:rsidP="00D04B85">
            <w:pPr>
              <w:rPr>
                <w:rFonts w:cstheme="minorHAnsi"/>
                <w:b/>
                <w:bCs/>
                <w:color w:val="1B1B1B"/>
              </w:rPr>
            </w:pPr>
            <w:r w:rsidRPr="001756F7">
              <w:rPr>
                <w:rFonts w:cstheme="minorHAnsi"/>
                <w:b/>
                <w:bCs/>
                <w:color w:val="1B1B1B"/>
              </w:rPr>
              <w:lastRenderedPageBreak/>
              <w:t>Permanent Medicare change</w:t>
            </w:r>
          </w:p>
          <w:p w14:paraId="5EEDDC4F" w14:textId="7C57615D" w:rsidR="00D04B85" w:rsidRPr="001756F7" w:rsidRDefault="00D04B85" w:rsidP="00D04B85">
            <w:pPr>
              <w:pStyle w:val="ListParagraph"/>
              <w:numPr>
                <w:ilvl w:val="0"/>
                <w:numId w:val="5"/>
              </w:numPr>
              <w:rPr>
                <w:rFonts w:cstheme="minorHAnsi"/>
                <w:color w:val="1B1B1B"/>
              </w:rPr>
            </w:pPr>
            <w:r w:rsidRPr="001756F7">
              <w:rPr>
                <w:rFonts w:cstheme="minorHAnsi"/>
                <w:color w:val="1B1B1B"/>
              </w:rPr>
              <w:t>Rural hospital emergency department</w:t>
            </w:r>
            <w:r w:rsidR="00964824">
              <w:rPr>
                <w:rFonts w:cstheme="minorHAnsi"/>
                <w:color w:val="1B1B1B"/>
              </w:rPr>
              <w:t>s</w:t>
            </w:r>
            <w:r w:rsidRPr="001756F7">
              <w:rPr>
                <w:rFonts w:cstheme="minorHAnsi"/>
                <w:color w:val="1B1B1B"/>
              </w:rPr>
              <w:t xml:space="preserve"> are accepted as an originating site.</w:t>
            </w:r>
          </w:p>
          <w:p w14:paraId="6629AF58" w14:textId="77777777" w:rsidR="00D04B85" w:rsidRPr="001756F7" w:rsidRDefault="00D04B85" w:rsidP="00D04B85">
            <w:pPr>
              <w:rPr>
                <w:rFonts w:cstheme="minorHAnsi"/>
                <w:b/>
                <w:bCs/>
                <w:color w:val="1B1B1B"/>
              </w:rPr>
            </w:pPr>
          </w:p>
          <w:p w14:paraId="6838AB57" w14:textId="77777777" w:rsidR="00D04B85" w:rsidRPr="001756F7" w:rsidRDefault="00D04B85" w:rsidP="00D04B85">
            <w:pPr>
              <w:rPr>
                <w:rFonts w:cstheme="minorHAnsi"/>
                <w:b/>
                <w:bCs/>
                <w:color w:val="1B1B1B"/>
              </w:rPr>
            </w:pPr>
            <w:r w:rsidRPr="001756F7">
              <w:rPr>
                <w:rFonts w:cstheme="minorHAnsi"/>
                <w:b/>
                <w:bCs/>
                <w:color w:val="1B1B1B"/>
              </w:rPr>
              <w:t xml:space="preserve">Temporary Medicare changes ending </w:t>
            </w:r>
            <w:proofErr w:type="gramStart"/>
            <w:r w:rsidRPr="001756F7">
              <w:rPr>
                <w:rFonts w:cstheme="minorHAnsi"/>
                <w:b/>
                <w:bCs/>
                <w:color w:val="1B1B1B"/>
              </w:rPr>
              <w:t>12/31/24</w:t>
            </w:r>
            <w:proofErr w:type="gramEnd"/>
          </w:p>
          <w:p w14:paraId="611229C8" w14:textId="77777777" w:rsidR="00D04B85" w:rsidRPr="001756F7" w:rsidRDefault="00D04B85" w:rsidP="00D04B85">
            <w:pPr>
              <w:pStyle w:val="ListParagraph"/>
              <w:numPr>
                <w:ilvl w:val="0"/>
                <w:numId w:val="5"/>
              </w:numPr>
              <w:rPr>
                <w:rFonts w:cstheme="minorHAnsi"/>
                <w:color w:val="1B1B1B"/>
              </w:rPr>
            </w:pPr>
            <w:r w:rsidRPr="001756F7">
              <w:rPr>
                <w:rFonts w:cstheme="minorHAnsi"/>
                <w:color w:val="1B1B1B"/>
              </w:rPr>
              <w:t>Federally Qualified Health Center (FQHC)/Rural Health Clinic (RHC) can serve as a distant site provider for non-behavioral/mental telehealth services.</w:t>
            </w:r>
          </w:p>
          <w:p w14:paraId="10D9BD31" w14:textId="77777777" w:rsidR="00D04B85" w:rsidRPr="001756F7" w:rsidRDefault="00D04B85" w:rsidP="00D04B85">
            <w:pPr>
              <w:numPr>
                <w:ilvl w:val="0"/>
                <w:numId w:val="5"/>
              </w:numPr>
              <w:spacing w:before="100" w:beforeAutospacing="1" w:after="100" w:afterAutospacing="1"/>
              <w:rPr>
                <w:rFonts w:cstheme="minorHAnsi"/>
                <w:color w:val="1B1B1B"/>
              </w:rPr>
            </w:pPr>
            <w:r w:rsidRPr="001756F7">
              <w:rPr>
                <w:rFonts w:cstheme="minorHAnsi"/>
                <w:color w:val="1B1B1B"/>
              </w:rPr>
              <w:t>Medicare patients can receive telehealth services authorized in the</w:t>
            </w:r>
            <w:r w:rsidRPr="001756F7">
              <w:rPr>
                <w:rStyle w:val="apple-converted-space"/>
                <w:rFonts w:cstheme="minorHAnsi"/>
                <w:color w:val="1B1B1B"/>
              </w:rPr>
              <w:t> </w:t>
            </w:r>
            <w:hyperlink r:id="rId16" w:history="1">
              <w:r w:rsidRPr="001756F7">
                <w:rPr>
                  <w:rStyle w:val="Hyperlink"/>
                  <w:rFonts w:cstheme="minorHAnsi"/>
                  <w:color w:val="005EA2"/>
                </w:rPr>
                <w:t>Calendar Year 2023 Medicare Physician Fee Schedule</w:t>
              </w:r>
            </w:hyperlink>
            <w:r w:rsidRPr="001756F7">
              <w:rPr>
                <w:rFonts w:cstheme="minorHAnsi"/>
                <w:color w:val="1B1B1B"/>
              </w:rPr>
              <w:t> in their home.</w:t>
            </w:r>
          </w:p>
          <w:p w14:paraId="0C3BCAFC" w14:textId="77777777" w:rsidR="00D04B85" w:rsidRPr="001756F7" w:rsidRDefault="00D04B85" w:rsidP="00D04B85">
            <w:pPr>
              <w:numPr>
                <w:ilvl w:val="0"/>
                <w:numId w:val="5"/>
              </w:numPr>
              <w:spacing w:before="100" w:beforeAutospacing="1" w:after="100" w:afterAutospacing="1"/>
              <w:rPr>
                <w:rFonts w:cstheme="minorHAnsi"/>
                <w:color w:val="1B1B1B"/>
              </w:rPr>
            </w:pPr>
            <w:r w:rsidRPr="001756F7">
              <w:rPr>
                <w:rFonts w:cstheme="minorHAnsi"/>
                <w:color w:val="1B1B1B"/>
              </w:rPr>
              <w:t>Some non-behavioral/mental telehealth services can be delivered using audio-only communication platforms.</w:t>
            </w:r>
          </w:p>
          <w:p w14:paraId="6CE6D247" w14:textId="77777777" w:rsidR="00D04B85" w:rsidRPr="001756F7" w:rsidRDefault="00D04B85" w:rsidP="00D04B85">
            <w:pPr>
              <w:rPr>
                <w:rFonts w:cstheme="minorHAnsi"/>
                <w:b/>
                <w:bCs/>
                <w:color w:val="1B1B1B"/>
              </w:rPr>
            </w:pPr>
            <w:r w:rsidRPr="001756F7">
              <w:rPr>
                <w:rFonts w:cstheme="minorHAnsi"/>
                <w:b/>
                <w:bCs/>
                <w:color w:val="1B1B1B"/>
              </w:rPr>
              <w:t>Temporary changes through the end of the COVID-19 public health emergency</w:t>
            </w:r>
          </w:p>
          <w:p w14:paraId="6E1DD87D" w14:textId="77777777" w:rsidR="00D04B85" w:rsidRPr="00993B2C" w:rsidRDefault="00D04B85" w:rsidP="00D04B85">
            <w:pPr>
              <w:pStyle w:val="ListParagraph"/>
              <w:numPr>
                <w:ilvl w:val="0"/>
                <w:numId w:val="5"/>
              </w:numPr>
              <w:rPr>
                <w:rFonts w:cstheme="minorHAnsi"/>
                <w:color w:val="1B1B1B"/>
              </w:rPr>
            </w:pPr>
            <w:r w:rsidRPr="001756F7">
              <w:rPr>
                <w:rFonts w:cstheme="minorHAnsi"/>
                <w:color w:val="1B1B1B"/>
              </w:rPr>
              <w:t xml:space="preserve">Telehealth can be provided as an </w:t>
            </w:r>
            <w:r w:rsidRPr="00993B2C">
              <w:rPr>
                <w:rFonts w:cstheme="minorHAnsi"/>
                <w:color w:val="1B1B1B"/>
              </w:rPr>
              <w:t>excepted benefit.</w:t>
            </w:r>
          </w:p>
          <w:p w14:paraId="0A07266E" w14:textId="77777777" w:rsidR="00D04B85" w:rsidRPr="001756F7" w:rsidRDefault="00D04B85" w:rsidP="00D04B85">
            <w:pPr>
              <w:pStyle w:val="ListParagraph"/>
              <w:numPr>
                <w:ilvl w:val="0"/>
                <w:numId w:val="5"/>
              </w:numPr>
              <w:rPr>
                <w:rFonts w:cstheme="minorHAnsi"/>
                <w:color w:val="1B1B1B"/>
              </w:rPr>
            </w:pPr>
            <w:r w:rsidRPr="00993B2C">
              <w:rPr>
                <w:rFonts w:cstheme="minorHAnsi"/>
                <w:color w:val="1B1B1B"/>
              </w:rPr>
              <w:t>Medicare-covered providers may use any non-public facing application</w:t>
            </w:r>
            <w:r w:rsidRPr="001756F7">
              <w:rPr>
                <w:rFonts w:cstheme="minorHAnsi"/>
                <w:color w:val="1B1B1B"/>
              </w:rPr>
              <w:t xml:space="preserve"> to communicate with patients without risking any federal penalties — even if the application isn’t in compliance with the Health Insurance Portability and Accountability Act of 1996 (HIPAA).</w:t>
            </w:r>
          </w:p>
          <w:p w14:paraId="192A9A28" w14:textId="77777777" w:rsidR="00D04B85" w:rsidRDefault="00D04B85" w:rsidP="00D04B85"/>
        </w:tc>
        <w:tc>
          <w:tcPr>
            <w:tcW w:w="4410" w:type="dxa"/>
          </w:tcPr>
          <w:p w14:paraId="33EDB80D" w14:textId="77777777" w:rsidR="00D04B85" w:rsidRPr="00703B7E" w:rsidRDefault="00D04B85" w:rsidP="00D04B85">
            <w:pPr>
              <w:rPr>
                <w:rFonts w:cstheme="minorHAnsi"/>
                <w:lang w:val="fr-FR"/>
              </w:rPr>
            </w:pPr>
            <w:proofErr w:type="gramStart"/>
            <w:r w:rsidRPr="00703B7E">
              <w:rPr>
                <w:rFonts w:cstheme="minorHAnsi"/>
                <w:b/>
                <w:bCs/>
                <w:color w:val="1B1B1B"/>
                <w:lang w:val="fr-FR"/>
              </w:rPr>
              <w:t>SOURCE</w:t>
            </w:r>
            <w:r w:rsidRPr="00703B7E">
              <w:rPr>
                <w:rFonts w:cstheme="minorHAnsi"/>
                <w:color w:val="1B1B1B"/>
                <w:lang w:val="fr-FR"/>
              </w:rPr>
              <w:t>:</w:t>
            </w:r>
            <w:proofErr w:type="gramEnd"/>
            <w:r w:rsidRPr="00703B7E">
              <w:rPr>
                <w:rFonts w:cstheme="minorHAnsi"/>
                <w:color w:val="1B1B1B"/>
                <w:lang w:val="fr-FR"/>
              </w:rPr>
              <w:t xml:space="preserve"> </w:t>
            </w:r>
            <w:hyperlink r:id="rId17" w:history="1">
              <w:r w:rsidRPr="00703B7E">
                <w:rPr>
                  <w:rStyle w:val="Hyperlink"/>
                  <w:rFonts w:cstheme="minorHAnsi"/>
                  <w:lang w:val="fr-FR"/>
                </w:rPr>
                <w:t>https://telehealth.hhs.gov/providers/policy-changes-during-the-covid-19-public-health-emergency/policy-changes-after-the-covid-19-public-health-emergency</w:t>
              </w:r>
            </w:hyperlink>
            <w:r w:rsidRPr="00703B7E">
              <w:rPr>
                <w:rFonts w:cstheme="minorHAnsi"/>
                <w:lang w:val="fr-FR"/>
              </w:rPr>
              <w:t xml:space="preserve"> </w:t>
            </w:r>
          </w:p>
          <w:p w14:paraId="1268AA27" w14:textId="77777777" w:rsidR="00D04B85" w:rsidRPr="00703B7E" w:rsidRDefault="00D04B85" w:rsidP="00D04B85">
            <w:pPr>
              <w:rPr>
                <w:lang w:val="fr-FR"/>
              </w:rPr>
            </w:pPr>
          </w:p>
        </w:tc>
      </w:tr>
      <w:tr w:rsidR="00D04B85" w:rsidRPr="00703B7E" w14:paraId="1283FE97" w14:textId="77777777" w:rsidTr="00BD12A9">
        <w:tc>
          <w:tcPr>
            <w:tcW w:w="8905" w:type="dxa"/>
          </w:tcPr>
          <w:p w14:paraId="70085BC2" w14:textId="3BB49932" w:rsidR="00D04B85" w:rsidRPr="00993B2C" w:rsidRDefault="00D04B85" w:rsidP="00D04B85">
            <w:pPr>
              <w:rPr>
                <w:rFonts w:cstheme="minorHAnsi"/>
                <w:b/>
                <w:bCs/>
                <w:i/>
                <w:iCs/>
              </w:rPr>
            </w:pPr>
            <w:r w:rsidRPr="00993B2C">
              <w:rPr>
                <w:rFonts w:cstheme="minorHAnsi"/>
                <w:b/>
                <w:bCs/>
                <w:i/>
                <w:iCs/>
              </w:rPr>
              <w:t xml:space="preserve">Flexibilities offered through the </w:t>
            </w:r>
            <w:hyperlink r:id="rId18" w:history="1">
              <w:r w:rsidRPr="00993B2C">
                <w:rPr>
                  <w:rStyle w:val="Hyperlink"/>
                  <w:rFonts w:cstheme="minorHAnsi"/>
                  <w:b/>
                  <w:bCs/>
                  <w:i/>
                  <w:iCs/>
                </w:rPr>
                <w:t>OIG Telehealth Policy</w:t>
              </w:r>
            </w:hyperlink>
            <w:r w:rsidRPr="00993B2C">
              <w:rPr>
                <w:rFonts w:cstheme="minorHAnsi"/>
                <w:b/>
                <w:bCs/>
                <w:i/>
                <w:iCs/>
              </w:rPr>
              <w:t xml:space="preserve"> will end May 11, 2023</w:t>
            </w:r>
            <w:r w:rsidR="00993B2C">
              <w:rPr>
                <w:rFonts w:cstheme="minorHAnsi"/>
                <w:b/>
                <w:bCs/>
                <w:i/>
                <w:iCs/>
              </w:rPr>
              <w:t>.</w:t>
            </w:r>
          </w:p>
          <w:p w14:paraId="451EB77B" w14:textId="77777777" w:rsidR="00D04B85" w:rsidRDefault="00D04B85" w:rsidP="00D04B85"/>
        </w:tc>
        <w:tc>
          <w:tcPr>
            <w:tcW w:w="4410" w:type="dxa"/>
          </w:tcPr>
          <w:p w14:paraId="15D5D2EC" w14:textId="77777777" w:rsidR="00D04B85" w:rsidRPr="00703B7E" w:rsidRDefault="00D04B85" w:rsidP="00D04B85">
            <w:pPr>
              <w:rPr>
                <w:rFonts w:cstheme="minorHAnsi"/>
                <w:lang w:val="fr-FR"/>
              </w:rPr>
            </w:pPr>
            <w:proofErr w:type="gramStart"/>
            <w:r w:rsidRPr="00703B7E">
              <w:rPr>
                <w:rFonts w:cstheme="minorHAnsi"/>
                <w:b/>
                <w:bCs/>
                <w:lang w:val="fr-FR"/>
              </w:rPr>
              <w:t>SOURCE</w:t>
            </w:r>
            <w:r w:rsidRPr="00703B7E">
              <w:rPr>
                <w:rFonts w:cstheme="minorHAnsi"/>
                <w:lang w:val="fr-FR"/>
              </w:rPr>
              <w:t>:</w:t>
            </w:r>
            <w:proofErr w:type="gramEnd"/>
            <w:r w:rsidRPr="00703B7E">
              <w:rPr>
                <w:rFonts w:cstheme="minorHAnsi"/>
                <w:lang w:val="fr-FR"/>
              </w:rPr>
              <w:t xml:space="preserve"> </w:t>
            </w:r>
            <w:hyperlink r:id="rId19" w:history="1">
              <w:r w:rsidRPr="00703B7E">
                <w:rPr>
                  <w:rStyle w:val="Hyperlink"/>
                  <w:rFonts w:cstheme="minorHAnsi"/>
                  <w:lang w:val="fr-FR"/>
                </w:rPr>
                <w:t>https://oig.hhs.gov/coronavirus/covid-flex-expiration.asp</w:t>
              </w:r>
            </w:hyperlink>
          </w:p>
          <w:p w14:paraId="4671B044" w14:textId="77777777" w:rsidR="00D04B85" w:rsidRPr="00703B7E" w:rsidRDefault="00D04B85" w:rsidP="00D04B85">
            <w:pPr>
              <w:rPr>
                <w:lang w:val="fr-FR"/>
              </w:rPr>
            </w:pPr>
          </w:p>
        </w:tc>
      </w:tr>
    </w:tbl>
    <w:p w14:paraId="49324861" w14:textId="77777777" w:rsidR="00D04B85" w:rsidRPr="00703B7E" w:rsidRDefault="00D04B85" w:rsidP="00D04B85">
      <w:pPr>
        <w:rPr>
          <w:lang w:val="fr-FR"/>
        </w:rPr>
      </w:pPr>
    </w:p>
    <w:p w14:paraId="7AF0DEAC" w14:textId="7BF336DA" w:rsidR="004B4E10" w:rsidRPr="004B4E10" w:rsidRDefault="004B4E10" w:rsidP="004B4E10">
      <w:pPr>
        <w:pStyle w:val="Heading2"/>
        <w:rPr>
          <w:b/>
          <w:bCs/>
        </w:rPr>
      </w:pPr>
      <w:bookmarkStart w:id="2" w:name="_COVID-19_Testing,_Vaccination,"/>
      <w:bookmarkEnd w:id="2"/>
      <w:r w:rsidRPr="004B4E10">
        <w:rPr>
          <w:b/>
          <w:bCs/>
        </w:rPr>
        <w:t>COVID-19 Testing, Vaccination, and Treatment</w:t>
      </w:r>
    </w:p>
    <w:p w14:paraId="35499D69" w14:textId="0D1F2030" w:rsidR="004B4E10" w:rsidRPr="00395CB2" w:rsidRDefault="004B4E10" w:rsidP="004B4E10">
      <w:pPr>
        <w:pStyle w:val="Heading4"/>
        <w:rPr>
          <w:b/>
          <w:bCs/>
          <w:sz w:val="22"/>
          <w:szCs w:val="22"/>
        </w:rPr>
      </w:pPr>
      <w:bookmarkStart w:id="3" w:name="_Testing"/>
      <w:bookmarkEnd w:id="3"/>
      <w:r w:rsidRPr="00395CB2">
        <w:rPr>
          <w:b/>
          <w:bCs/>
          <w:sz w:val="22"/>
          <w:szCs w:val="22"/>
        </w:rPr>
        <w:t>Testing</w:t>
      </w:r>
    </w:p>
    <w:tbl>
      <w:tblPr>
        <w:tblStyle w:val="TableGrid"/>
        <w:tblW w:w="13315" w:type="dxa"/>
        <w:tblLayout w:type="fixed"/>
        <w:tblLook w:val="04A0" w:firstRow="1" w:lastRow="0" w:firstColumn="1" w:lastColumn="0" w:noHBand="0" w:noVBand="1"/>
      </w:tblPr>
      <w:tblGrid>
        <w:gridCol w:w="8905"/>
        <w:gridCol w:w="4410"/>
      </w:tblGrid>
      <w:tr w:rsidR="00D04B85" w:rsidRPr="00703B7E" w14:paraId="5DBA53E7" w14:textId="77777777" w:rsidTr="00BD12A9">
        <w:tc>
          <w:tcPr>
            <w:tcW w:w="8905" w:type="dxa"/>
          </w:tcPr>
          <w:p w14:paraId="0D4A22F4" w14:textId="77777777" w:rsidR="00D04B85" w:rsidRDefault="00D04B85" w:rsidP="00D04B85">
            <w:r>
              <w:t>“</w:t>
            </w:r>
            <w:r w:rsidRPr="00031638">
              <w:rPr>
                <w:b/>
                <w:bCs/>
              </w:rPr>
              <w:t>Coverage for COVID-19 testing for Americans will change</w:t>
            </w:r>
            <w:r>
              <w:t>. Medicare beneficiaries who are enrolled in Part B will continue to have coverage without cost sharing for laboratory-conducted COVID-19 tests when ordered by a provider, but their current access to free over-the-counter (OTC) COVID-19 tests will end, consistent with the statute on Medicare payment for OTC tests set by Congress.</w:t>
            </w:r>
          </w:p>
          <w:p w14:paraId="702B97F8" w14:textId="77777777" w:rsidR="00D04B85" w:rsidRDefault="00D04B85" w:rsidP="00D04B85"/>
          <w:p w14:paraId="5372012D" w14:textId="2FFB9A6A" w:rsidR="00D04B85" w:rsidRDefault="00D04B85" w:rsidP="00D04B85">
            <w:r>
              <w:t xml:space="preserve">The </w:t>
            </w:r>
            <w:r w:rsidRPr="008E09F6">
              <w:rPr>
                <w:b/>
                <w:bCs/>
                <w:i/>
                <w:iCs/>
              </w:rPr>
              <w:t>requirement for private insurance companies to cover COVID-19 tests without cost sharing, both for OTC and laboratory tests, will end</w:t>
            </w:r>
            <w:r w:rsidRPr="00031638">
              <w:rPr>
                <w:b/>
                <w:bCs/>
              </w:rPr>
              <w:t>.</w:t>
            </w:r>
            <w:r>
              <w:t xml:space="preserve"> However, coverage may continue if plans choose to continue to include it. We are encouraging private insurers to continue to provide such coverage going forward.</w:t>
            </w:r>
          </w:p>
          <w:p w14:paraId="57A3ED65" w14:textId="77777777" w:rsidR="00D04B85" w:rsidRDefault="00D04B85" w:rsidP="00D04B85"/>
          <w:p w14:paraId="46D7118F" w14:textId="77777777" w:rsidR="00D04B85" w:rsidRPr="008E09F6" w:rsidRDefault="00D04B85" w:rsidP="00D04B85">
            <w:pPr>
              <w:rPr>
                <w:b/>
                <w:bCs/>
                <w:i/>
                <w:iCs/>
              </w:rPr>
            </w:pPr>
            <w:r w:rsidRPr="00031638">
              <w:rPr>
                <w:b/>
                <w:bCs/>
              </w:rPr>
              <w:t>State Medicaid programs must provide coverage without cost sharing for COVID-19 testing until the last day of the first calendar quarter that begins one year after the last day of the COVID-19 PHE</w:t>
            </w:r>
            <w:r>
              <w:t xml:space="preserve">. That means with the COVID-19 PHE ending on May 11, 2023, this </w:t>
            </w:r>
            <w:r w:rsidRPr="008E09F6">
              <w:rPr>
                <w:b/>
                <w:bCs/>
                <w:i/>
                <w:iCs/>
              </w:rPr>
              <w:t>mandatory coverage will end on September 30, 2024, after which coverage may vary by state.</w:t>
            </w:r>
          </w:p>
          <w:p w14:paraId="43C97AEF" w14:textId="77777777" w:rsidR="00D04B85" w:rsidRDefault="00D04B85" w:rsidP="00D04B85"/>
          <w:p w14:paraId="237DF074" w14:textId="77777777" w:rsidR="00D04B85" w:rsidRDefault="00D04B85" w:rsidP="00D04B85">
            <w:r>
              <w:lastRenderedPageBreak/>
              <w:t xml:space="preserve">Additionally, dependent on supply and resources, the </w:t>
            </w:r>
            <w:r w:rsidRPr="00031638">
              <w:rPr>
                <w:b/>
                <w:bCs/>
              </w:rPr>
              <w:t>USG may continue to distribute free COVID-19 tests from the Strategic National Stockpile through the United States Postal Service, states, and other community partners.</w:t>
            </w:r>
            <w:r>
              <w:t xml:space="preserve"> Pending resource availability, the Centers for Disease Control and Prevention’s (CDC) Increasing Community Access to Testing (ICATT) program will continue working to ensure continued equitable access to testing for uninsured individuals and areas of high social vulnerability through pharmacies and community-based sites.”</w:t>
            </w:r>
          </w:p>
          <w:p w14:paraId="274A7B6C" w14:textId="77777777" w:rsidR="00D04B85" w:rsidRDefault="00D04B85" w:rsidP="004B4E10"/>
        </w:tc>
        <w:tc>
          <w:tcPr>
            <w:tcW w:w="4410" w:type="dxa"/>
          </w:tcPr>
          <w:p w14:paraId="6F6DAE08" w14:textId="625F922C" w:rsidR="00D04B85" w:rsidRPr="00703B7E" w:rsidRDefault="00D04B85" w:rsidP="004B4E10">
            <w:pPr>
              <w:rPr>
                <w:lang w:val="fr-FR"/>
              </w:rPr>
            </w:pPr>
            <w:proofErr w:type="gramStart"/>
            <w:r w:rsidRPr="00703B7E">
              <w:rPr>
                <w:b/>
                <w:bCs/>
                <w:lang w:val="fr-FR"/>
              </w:rPr>
              <w:lastRenderedPageBreak/>
              <w:t>SOURCE:</w:t>
            </w:r>
            <w:proofErr w:type="gramEnd"/>
            <w:r w:rsidRPr="00703B7E">
              <w:rPr>
                <w:lang w:val="fr-FR"/>
              </w:rPr>
              <w:t xml:space="preserve"> </w:t>
            </w:r>
            <w:hyperlink r:id="rId20" w:history="1">
              <w:r w:rsidRPr="00703B7E">
                <w:rPr>
                  <w:rStyle w:val="Hyperlink"/>
                  <w:lang w:val="fr-FR"/>
                </w:rPr>
                <w:t>https://www.hhs.gov/about/news/2023/02/09/fact-sheet-covid-19-public-health-emergency-transition-roadmap.html</w:t>
              </w:r>
            </w:hyperlink>
          </w:p>
        </w:tc>
      </w:tr>
      <w:tr w:rsidR="00D04B85" w:rsidRPr="00703B7E" w14:paraId="19A67FC4" w14:textId="77777777" w:rsidTr="00BD12A9">
        <w:tc>
          <w:tcPr>
            <w:tcW w:w="8905" w:type="dxa"/>
          </w:tcPr>
          <w:p w14:paraId="1A605882" w14:textId="77777777" w:rsidR="00D04B85" w:rsidRPr="008E09F6" w:rsidRDefault="00D04B85" w:rsidP="00D04B85">
            <w:pPr>
              <w:rPr>
                <w:i/>
                <w:iCs/>
              </w:rPr>
            </w:pPr>
            <w:r>
              <w:t xml:space="preserve">“On April 4, 2022, </w:t>
            </w:r>
            <w:r w:rsidRPr="00031638">
              <w:rPr>
                <w:b/>
                <w:bCs/>
              </w:rPr>
              <w:t>Medicare implemented a demonstration program to allow people with Medicare to receive up to eight tests per calendar month at no cost</w:t>
            </w:r>
            <w:r>
              <w:t xml:space="preserve">. This is the first time that Medicare has covered an over-the-counter, self-administered, test. This new initiative enables people with Medicare Part B, including those enrolled in a Medicare Advantage plan, to receive tests at no cost from providers and suppliers who are eligible to participate. Pharmacies and other health care providers interested in participating in this initiative can get more information. </w:t>
            </w:r>
            <w:r w:rsidRPr="008E09F6">
              <w:rPr>
                <w:b/>
                <w:bCs/>
                <w:i/>
                <w:iCs/>
              </w:rPr>
              <w:t>This program will end at the end of the COVID-19 public health emergency.</w:t>
            </w:r>
            <w:r w:rsidRPr="008E09F6">
              <w:rPr>
                <w:i/>
                <w:iCs/>
              </w:rPr>
              <w:t>”</w:t>
            </w:r>
          </w:p>
          <w:p w14:paraId="5031AD71" w14:textId="77777777" w:rsidR="00D04B85" w:rsidRDefault="00D04B85" w:rsidP="004B4E10"/>
        </w:tc>
        <w:tc>
          <w:tcPr>
            <w:tcW w:w="4410" w:type="dxa"/>
          </w:tcPr>
          <w:p w14:paraId="2DF681D8" w14:textId="77777777" w:rsidR="00D04B85" w:rsidRPr="00703B7E" w:rsidRDefault="00D04B85" w:rsidP="00D04B85">
            <w:pPr>
              <w:rPr>
                <w:lang w:val="fr-FR"/>
              </w:rPr>
            </w:pPr>
            <w:proofErr w:type="gramStart"/>
            <w:r w:rsidRPr="00703B7E">
              <w:rPr>
                <w:b/>
                <w:bCs/>
                <w:lang w:val="fr-FR"/>
              </w:rPr>
              <w:t>SOURCE:</w:t>
            </w:r>
            <w:proofErr w:type="gramEnd"/>
            <w:r w:rsidRPr="00703B7E">
              <w:rPr>
                <w:lang w:val="fr-FR"/>
              </w:rPr>
              <w:t xml:space="preserve"> </w:t>
            </w:r>
            <w:hyperlink r:id="rId21" w:history="1">
              <w:r w:rsidRPr="00703B7E">
                <w:rPr>
                  <w:rStyle w:val="Hyperlink"/>
                  <w:lang w:val="fr-FR"/>
                </w:rPr>
                <w:t>https://www.cms.gov/files/document/physicians-and-other-clinicians-cms-flexibilities-fight-covid-19.pdf</w:t>
              </w:r>
            </w:hyperlink>
            <w:r w:rsidRPr="00703B7E">
              <w:rPr>
                <w:lang w:val="fr-FR"/>
              </w:rPr>
              <w:t xml:space="preserve"> </w:t>
            </w:r>
          </w:p>
          <w:p w14:paraId="1CD7B0CE" w14:textId="77777777" w:rsidR="00D04B85" w:rsidRPr="00703B7E" w:rsidRDefault="00D04B85" w:rsidP="004B4E10">
            <w:pPr>
              <w:rPr>
                <w:lang w:val="fr-FR"/>
              </w:rPr>
            </w:pPr>
          </w:p>
        </w:tc>
      </w:tr>
      <w:tr w:rsidR="00D04B85" w:rsidRPr="00703B7E" w14:paraId="2409A045" w14:textId="77777777" w:rsidTr="00BD12A9">
        <w:tc>
          <w:tcPr>
            <w:tcW w:w="8905" w:type="dxa"/>
          </w:tcPr>
          <w:p w14:paraId="23804D22" w14:textId="2250DD2D" w:rsidR="00D04B85" w:rsidRDefault="00D04B85" w:rsidP="00D04B85">
            <w:r>
              <w:t>“</w:t>
            </w:r>
            <w:r w:rsidRPr="00031638">
              <w:rPr>
                <w:b/>
                <w:bCs/>
              </w:rPr>
              <w:t>COVID-19 Diagnostic Testing</w:t>
            </w:r>
            <w:r>
              <w:t xml:space="preserve">: During the PHE, CMS specified that the </w:t>
            </w:r>
            <w:r w:rsidRPr="00C20655">
              <w:rPr>
                <w:b/>
                <w:bCs/>
              </w:rPr>
              <w:t>level one E/M visit</w:t>
            </w:r>
            <w:r>
              <w:t xml:space="preserve"> (CPT code 99211), which can ordinarily be billed only when clinical staff perform services incident to the services of the billing physician or practitioner for an established patient, can be billed when clinical staff assess a patient and collect a specimen for a COVID-19 diagnostic test for both new and established patients. </w:t>
            </w:r>
            <w:r w:rsidRPr="00C20655">
              <w:rPr>
                <w:b/>
                <w:bCs/>
                <w:i/>
                <w:iCs/>
              </w:rPr>
              <w:t>After the PHE, the usual requirements for billing the level 1 E/M visit (CPT code 99211) apply</w:t>
            </w:r>
            <w:r>
              <w:t>.”</w:t>
            </w:r>
          </w:p>
        </w:tc>
        <w:tc>
          <w:tcPr>
            <w:tcW w:w="4410" w:type="dxa"/>
          </w:tcPr>
          <w:p w14:paraId="337FF477" w14:textId="77777777" w:rsidR="00D04B85" w:rsidRPr="00703B7E" w:rsidRDefault="00D04B85" w:rsidP="00D04B85">
            <w:pPr>
              <w:rPr>
                <w:lang w:val="fr-FR"/>
              </w:rPr>
            </w:pPr>
            <w:proofErr w:type="gramStart"/>
            <w:r w:rsidRPr="00703B7E">
              <w:rPr>
                <w:b/>
                <w:bCs/>
                <w:lang w:val="fr-FR"/>
              </w:rPr>
              <w:t>SOURCE:</w:t>
            </w:r>
            <w:proofErr w:type="gramEnd"/>
            <w:r w:rsidRPr="00703B7E">
              <w:rPr>
                <w:lang w:val="fr-FR"/>
              </w:rPr>
              <w:t xml:space="preserve"> </w:t>
            </w:r>
            <w:hyperlink r:id="rId22" w:history="1">
              <w:r w:rsidRPr="00703B7E">
                <w:rPr>
                  <w:rStyle w:val="Hyperlink"/>
                  <w:lang w:val="fr-FR"/>
                </w:rPr>
                <w:t>https://www.cms.gov/files/document/physicians-and-other-clinicians-cms-flexibilities-fight-covid-19.pdf</w:t>
              </w:r>
            </w:hyperlink>
            <w:r w:rsidRPr="00703B7E">
              <w:rPr>
                <w:lang w:val="fr-FR"/>
              </w:rPr>
              <w:t xml:space="preserve"> </w:t>
            </w:r>
          </w:p>
          <w:p w14:paraId="0C1BDD68" w14:textId="77777777" w:rsidR="00D04B85" w:rsidRPr="00703B7E" w:rsidRDefault="00D04B85" w:rsidP="004B4E10">
            <w:pPr>
              <w:rPr>
                <w:lang w:val="fr-FR"/>
              </w:rPr>
            </w:pPr>
          </w:p>
        </w:tc>
      </w:tr>
      <w:tr w:rsidR="00D04B85" w:rsidRPr="00703B7E" w14:paraId="11C53CCF" w14:textId="77777777" w:rsidTr="00BD12A9">
        <w:tc>
          <w:tcPr>
            <w:tcW w:w="8905" w:type="dxa"/>
          </w:tcPr>
          <w:p w14:paraId="7E2A0EE9" w14:textId="77777777" w:rsidR="00D04B85" w:rsidRPr="008E09F6" w:rsidRDefault="00D04B85" w:rsidP="00D04B85">
            <w:pPr>
              <w:rPr>
                <w:i/>
                <w:iCs/>
              </w:rPr>
            </w:pPr>
            <w:r>
              <w:t>“</w:t>
            </w:r>
            <w:r w:rsidRPr="00412192">
              <w:rPr>
                <w:b/>
                <w:bCs/>
              </w:rPr>
              <w:t>Physician or Practitioner Order for COVID-19 tests</w:t>
            </w:r>
            <w:r>
              <w:t xml:space="preserve">: In the COVID-19 Public Health Emergency Interim Final Rule #3 (CMS-3401-IFC), we revised a previous policy that covered multiple COVID-19 tests for an individual beneficiary without a physician or other practitioner order. </w:t>
            </w:r>
            <w:r w:rsidRPr="00412192">
              <w:rPr>
                <w:b/>
                <w:bCs/>
              </w:rPr>
              <w:t>Medicare has been covering a beneficiary’s first COVID-19 test without an order.</w:t>
            </w:r>
            <w:r>
              <w:t xml:space="preserve"> Subsequent tests require a physician’s or other practitioner’s order. This change has ensured that beneficiaries receive appropriate medical attention if they feel they need multiple tests, and has reduced the risk of fraud. FDA requirements for an order and state requirements around ordering diagnostic tests still applied. CMS also </w:t>
            </w:r>
            <w:r w:rsidRPr="00412192">
              <w:rPr>
                <w:b/>
                <w:bCs/>
              </w:rPr>
              <w:t>removed certain documentation and recordkeeping requirements associated with orders for COVID-19 diagnostic tests</w:t>
            </w:r>
            <w:r>
              <w:t xml:space="preserve"> as these requirements would not be relevant in the absence of an order. CMS still requires laboratories to furnish the results of COVID-19 tests to the beneficiary. Consistent and regular reporting of all testing results to local officials is critical to public health management of the pandemic, so we would expect any clinician or laboratory receiving results to report those results promptly, consistent with state and local public health requirements, typically within 24 hours. </w:t>
            </w:r>
            <w:r w:rsidRPr="008E09F6">
              <w:rPr>
                <w:b/>
                <w:bCs/>
                <w:i/>
                <w:iCs/>
              </w:rPr>
              <w:t>After the PHE, Medicare will require all COVID-19 and related testing that is performed by a laboratory to be ordered by a physician or non-physician practitioner</w:t>
            </w:r>
            <w:r w:rsidRPr="008E09F6">
              <w:rPr>
                <w:i/>
                <w:iCs/>
              </w:rPr>
              <w:t>.”</w:t>
            </w:r>
          </w:p>
          <w:p w14:paraId="20564777" w14:textId="77777777" w:rsidR="00D04B85" w:rsidRDefault="00D04B85" w:rsidP="004B4E10"/>
        </w:tc>
        <w:tc>
          <w:tcPr>
            <w:tcW w:w="4410" w:type="dxa"/>
          </w:tcPr>
          <w:p w14:paraId="21E20607" w14:textId="77777777" w:rsidR="00D04B85" w:rsidRPr="00703B7E" w:rsidRDefault="00D04B85" w:rsidP="00D04B85">
            <w:pPr>
              <w:rPr>
                <w:lang w:val="fr-FR"/>
              </w:rPr>
            </w:pPr>
            <w:proofErr w:type="gramStart"/>
            <w:r w:rsidRPr="00703B7E">
              <w:rPr>
                <w:b/>
                <w:bCs/>
                <w:lang w:val="fr-FR"/>
              </w:rPr>
              <w:t>SOURCE:</w:t>
            </w:r>
            <w:proofErr w:type="gramEnd"/>
            <w:r w:rsidRPr="00703B7E">
              <w:rPr>
                <w:lang w:val="fr-FR"/>
              </w:rPr>
              <w:t xml:space="preserve"> </w:t>
            </w:r>
            <w:hyperlink r:id="rId23" w:history="1">
              <w:r w:rsidRPr="00703B7E">
                <w:rPr>
                  <w:rStyle w:val="Hyperlink"/>
                  <w:lang w:val="fr-FR"/>
                </w:rPr>
                <w:t>https://www.cms.gov/files/document/physicians-and-other-clinicians-cms-flexibilities-fight-covid-19.pdf</w:t>
              </w:r>
            </w:hyperlink>
            <w:r w:rsidRPr="00703B7E">
              <w:rPr>
                <w:lang w:val="fr-FR"/>
              </w:rPr>
              <w:t xml:space="preserve"> </w:t>
            </w:r>
          </w:p>
          <w:p w14:paraId="29007640" w14:textId="77777777" w:rsidR="00D04B85" w:rsidRPr="00703B7E" w:rsidRDefault="00D04B85" w:rsidP="004B4E10">
            <w:pPr>
              <w:rPr>
                <w:lang w:val="fr-FR"/>
              </w:rPr>
            </w:pPr>
          </w:p>
        </w:tc>
      </w:tr>
    </w:tbl>
    <w:p w14:paraId="0BD0A803" w14:textId="77777777" w:rsidR="004B4E10" w:rsidRPr="00703B7E" w:rsidRDefault="004B4E10" w:rsidP="004B4E10">
      <w:pPr>
        <w:rPr>
          <w:lang w:val="fr-FR"/>
        </w:rPr>
      </w:pPr>
    </w:p>
    <w:p w14:paraId="2F3D8746" w14:textId="53CF8751" w:rsidR="004B4E10" w:rsidRPr="00395CB2" w:rsidRDefault="004B4E10" w:rsidP="004B4E10">
      <w:pPr>
        <w:pStyle w:val="Heading4"/>
        <w:rPr>
          <w:b/>
          <w:bCs/>
          <w:sz w:val="22"/>
          <w:szCs w:val="22"/>
        </w:rPr>
      </w:pPr>
      <w:bookmarkStart w:id="4" w:name="_Vaccination_&amp;_Treatment"/>
      <w:bookmarkEnd w:id="4"/>
      <w:r w:rsidRPr="00395CB2">
        <w:rPr>
          <w:b/>
          <w:bCs/>
          <w:sz w:val="22"/>
          <w:szCs w:val="22"/>
        </w:rPr>
        <w:lastRenderedPageBreak/>
        <w:t>Vaccination &amp; Treatment</w:t>
      </w:r>
    </w:p>
    <w:tbl>
      <w:tblPr>
        <w:tblStyle w:val="TableGrid"/>
        <w:tblW w:w="13315" w:type="dxa"/>
        <w:tblLayout w:type="fixed"/>
        <w:tblLook w:val="04A0" w:firstRow="1" w:lastRow="0" w:firstColumn="1" w:lastColumn="0" w:noHBand="0" w:noVBand="1"/>
      </w:tblPr>
      <w:tblGrid>
        <w:gridCol w:w="8905"/>
        <w:gridCol w:w="4410"/>
      </w:tblGrid>
      <w:tr w:rsidR="00A7399F" w:rsidRPr="00703B7E" w14:paraId="5CB60F7B" w14:textId="77777777" w:rsidTr="00BD12A9">
        <w:tc>
          <w:tcPr>
            <w:tcW w:w="8905" w:type="dxa"/>
          </w:tcPr>
          <w:p w14:paraId="4F2056A8" w14:textId="77777777" w:rsidR="00A7399F" w:rsidRDefault="00A7399F" w:rsidP="00D04B85">
            <w:r>
              <w:t xml:space="preserve">On April 18, 2023, HHS announced the </w:t>
            </w:r>
            <w:r w:rsidRPr="00A7399F">
              <w:t>HHS Bridge Access Program For COVID-19 Vaccines and Treatments</w:t>
            </w:r>
            <w:r>
              <w:t xml:space="preserve"> that would:</w:t>
            </w:r>
          </w:p>
          <w:p w14:paraId="4D8010BC" w14:textId="3810A9FF" w:rsidR="00A7399F" w:rsidRDefault="00A7399F" w:rsidP="00A7399F">
            <w:pPr>
              <w:pStyle w:val="ListParagraph"/>
              <w:numPr>
                <w:ilvl w:val="0"/>
                <w:numId w:val="8"/>
              </w:numPr>
            </w:pPr>
            <w:r>
              <w:t>P</w:t>
            </w:r>
            <w:r w:rsidRPr="00A7399F">
              <w:t>rovide support for the existing public sector vaccine safety net, which is implemented through local health departments (LHDs) and Health Resources and Services Administration (HRSA) supported health centers.</w:t>
            </w:r>
          </w:p>
          <w:p w14:paraId="13EAB616" w14:textId="77777777" w:rsidR="00A7399F" w:rsidRPr="00A7399F" w:rsidRDefault="00A7399F" w:rsidP="00A7399F"/>
          <w:p w14:paraId="30BB386F" w14:textId="7B0ACDCC" w:rsidR="00A7399F" w:rsidRPr="00A7399F" w:rsidRDefault="00A7399F" w:rsidP="00A7399F">
            <w:pPr>
              <w:pStyle w:val="ListParagraph"/>
              <w:numPr>
                <w:ilvl w:val="0"/>
                <w:numId w:val="8"/>
              </w:numPr>
            </w:pPr>
            <w:r>
              <w:t>C</w:t>
            </w:r>
            <w:r w:rsidRPr="00A7399F">
              <w:t>reate a novel, funded partnership with pharmacy chains that will enable them to continue offering free COVID-19 vaccinations and treatments to the uninsured through their network or retail locations as has been done during the COVID-19 Public Health Emergency (PHE).</w:t>
            </w:r>
          </w:p>
          <w:p w14:paraId="08D654FE" w14:textId="7B352ACE" w:rsidR="00A7399F" w:rsidRDefault="00A7399F" w:rsidP="00D04B85"/>
        </w:tc>
        <w:tc>
          <w:tcPr>
            <w:tcW w:w="4410" w:type="dxa"/>
          </w:tcPr>
          <w:p w14:paraId="7DF6DFCA" w14:textId="77777777" w:rsidR="00A7399F" w:rsidRDefault="00F3543E" w:rsidP="00D04B85">
            <w:pPr>
              <w:rPr>
                <w:b/>
                <w:bCs/>
                <w:lang w:val="fr-FR"/>
              </w:rPr>
            </w:pPr>
            <w:r>
              <w:rPr>
                <w:b/>
                <w:bCs/>
                <w:lang w:val="fr-FR"/>
              </w:rPr>
              <w:t>SOURCE :</w:t>
            </w:r>
          </w:p>
          <w:p w14:paraId="2187402F" w14:textId="272638E1" w:rsidR="00F3543E" w:rsidRPr="00F3543E" w:rsidRDefault="00F3543E" w:rsidP="00D04B85">
            <w:pPr>
              <w:rPr>
                <w:lang w:val="fr-FR"/>
              </w:rPr>
            </w:pPr>
            <w:hyperlink r:id="rId24" w:history="1">
              <w:r w:rsidRPr="00F3543E">
                <w:rPr>
                  <w:rStyle w:val="Hyperlink"/>
                  <w:lang w:val="fr-FR"/>
                </w:rPr>
                <w:t>https://www.hhs.gov/about/news/2023/04/18/fact-sheet-hhs-announces-hhs-bridge-access-program-covid-19-vaccines-treatments-maintain-access-covid-19-care-uninsured.html</w:t>
              </w:r>
            </w:hyperlink>
            <w:r w:rsidRPr="00F3543E">
              <w:rPr>
                <w:lang w:val="fr-FR"/>
              </w:rPr>
              <w:t xml:space="preserve"> </w:t>
            </w:r>
          </w:p>
        </w:tc>
      </w:tr>
      <w:tr w:rsidR="00D04B85" w:rsidRPr="00703B7E" w14:paraId="48BCFE76" w14:textId="77777777" w:rsidTr="00BD12A9">
        <w:tc>
          <w:tcPr>
            <w:tcW w:w="8905" w:type="dxa"/>
          </w:tcPr>
          <w:p w14:paraId="7B23E932" w14:textId="77777777" w:rsidR="00D04B85" w:rsidRDefault="00D04B85" w:rsidP="00D04B85">
            <w:r>
              <w:t>“</w:t>
            </w:r>
            <w:r w:rsidRPr="00412192">
              <w:rPr>
                <w:b/>
                <w:bCs/>
              </w:rPr>
              <w:t xml:space="preserve">Access to COVID-19 vaccinations and certain treatments, such as Paxlovid and </w:t>
            </w:r>
            <w:proofErr w:type="spellStart"/>
            <w:r w:rsidRPr="00412192">
              <w:rPr>
                <w:b/>
                <w:bCs/>
              </w:rPr>
              <w:t>Lagevrio</w:t>
            </w:r>
            <w:proofErr w:type="spellEnd"/>
            <w:r w:rsidRPr="00412192">
              <w:rPr>
                <w:b/>
                <w:bCs/>
              </w:rPr>
              <w:t>, will generally not be affected.</w:t>
            </w:r>
            <w:r>
              <w:t xml:space="preserve"> To help keep communities safe from COVID-19, HHS remains committed to maximizing continued access to COVID-19 vaccines and treatments.</w:t>
            </w:r>
          </w:p>
          <w:p w14:paraId="2BB626E4" w14:textId="77777777" w:rsidR="00D04B85" w:rsidRDefault="00D04B85" w:rsidP="00D04B85"/>
          <w:p w14:paraId="05FEB8E5" w14:textId="77777777" w:rsidR="00D04B85" w:rsidRDefault="00D04B85" w:rsidP="00D04B85">
            <w:r>
              <w:t xml:space="preserve">Partners across the U.S. Government (USG) are </w:t>
            </w:r>
            <w:r w:rsidRPr="00412192">
              <w:t>developing plans to ensure a smooth transition for the provision of COVID-19 vaccines and treatments</w:t>
            </w:r>
            <w:r w:rsidRPr="00412192">
              <w:rPr>
                <w:b/>
                <w:bCs/>
              </w:rPr>
              <w:t xml:space="preserve"> </w:t>
            </w:r>
            <w:r>
              <w:t>as part of the traditional health care marketplace and are committed to executing this transition in a thoughtful, well-coordinated manner.</w:t>
            </w:r>
          </w:p>
          <w:p w14:paraId="1807E849" w14:textId="77777777" w:rsidR="00D04B85" w:rsidRDefault="00D04B85" w:rsidP="00D04B85"/>
          <w:p w14:paraId="0266E9C0" w14:textId="77777777" w:rsidR="00D04B85" w:rsidRDefault="00D04B85" w:rsidP="00D04B85">
            <w:r>
              <w:t>Importantly, this transition to more traditional health care coverage is not tied to the ending of the COVID-19 PHE and in part reflects the fact that the federal government has not received additional funds from Congress to continue to purchase more vaccines and treatments.</w:t>
            </w:r>
          </w:p>
          <w:p w14:paraId="41222B30" w14:textId="77777777" w:rsidR="00D04B85" w:rsidRDefault="00D04B85" w:rsidP="00D04B85"/>
          <w:p w14:paraId="56DFB25F" w14:textId="77777777" w:rsidR="00D04B85" w:rsidRPr="00974044" w:rsidRDefault="00D04B85" w:rsidP="00D04B85">
            <w:pPr>
              <w:rPr>
                <w:i/>
                <w:iCs/>
              </w:rPr>
            </w:pPr>
            <w:r>
              <w:t xml:space="preserve">When this transition to traditional health care coverage occurs later this year, many Americans will continue to pay nothing out-of-pocket for the COVID-19 vaccine. </w:t>
            </w:r>
            <w:r w:rsidRPr="00412192">
              <w:rPr>
                <w:b/>
                <w:bCs/>
              </w:rPr>
              <w:t xml:space="preserve">Vaccines recommended by the Advisory Committee on Immunization Practices (ACIP) are </w:t>
            </w:r>
            <w:r w:rsidRPr="00974044">
              <w:rPr>
                <w:b/>
                <w:bCs/>
              </w:rPr>
              <w:t xml:space="preserve">a preventive health service for most private insurance plans and will be fully covered without a co-pay. </w:t>
            </w:r>
            <w:r w:rsidRPr="00974044">
              <w:t>Currently</w:t>
            </w:r>
            <w:r w:rsidRPr="00BB6C81">
              <w:t>,</w:t>
            </w:r>
            <w:r w:rsidRPr="00BB6C81">
              <w:rPr>
                <w:i/>
                <w:iCs/>
              </w:rPr>
              <w:t xml:space="preserve"> COVID-19 vaccinations are covered under Medicare Part B without cost sharing, and this will continue.</w:t>
            </w:r>
            <w:r w:rsidRPr="00974044">
              <w:rPr>
                <w:i/>
                <w:iCs/>
              </w:rPr>
              <w:t xml:space="preserve"> </w:t>
            </w:r>
            <w:r w:rsidRPr="00974044">
              <w:rPr>
                <w:b/>
                <w:bCs/>
                <w:i/>
                <w:iCs/>
              </w:rPr>
              <w:t>Medicaid will continue to cover all COVID-19 vaccinations without a co-pay or cost sharing through September 30, 2024, and will cover ACIP-recommended vaccines for most beneficiaries thereafter</w:t>
            </w:r>
            <w:r w:rsidRPr="00974044">
              <w:rPr>
                <w:i/>
                <w:iCs/>
              </w:rPr>
              <w:t>.</w:t>
            </w:r>
          </w:p>
          <w:p w14:paraId="5ECAC080" w14:textId="77777777" w:rsidR="00D04B85" w:rsidRDefault="00D04B85" w:rsidP="00D04B85"/>
          <w:p w14:paraId="2347CE1C" w14:textId="77777777" w:rsidR="00D04B85" w:rsidRDefault="00D04B85" w:rsidP="00D04B85">
            <w:r w:rsidRPr="00412192">
              <w:rPr>
                <w:b/>
                <w:bCs/>
              </w:rPr>
              <w:t>Out-of-pocket expenses for certain treatments may change</w:t>
            </w:r>
            <w:r>
              <w:t xml:space="preserve">, depending on an individual’s health care coverage, similar to costs that one may experience for other drugs through traditional coverage. </w:t>
            </w:r>
            <w:r w:rsidRPr="00974044">
              <w:rPr>
                <w:b/>
                <w:bCs/>
                <w:i/>
                <w:iCs/>
              </w:rPr>
              <w:t>Medicaid programs will continue to cover COVID-19 treatments without cost sharing through September 30, 2024. After that, coverage and cost sharing may vary by state</w:t>
            </w:r>
            <w:r>
              <w:t>.”</w:t>
            </w:r>
          </w:p>
          <w:p w14:paraId="2616159F" w14:textId="77777777" w:rsidR="00D04B85" w:rsidRDefault="00D04B85" w:rsidP="00D04B85"/>
        </w:tc>
        <w:tc>
          <w:tcPr>
            <w:tcW w:w="4410" w:type="dxa"/>
          </w:tcPr>
          <w:p w14:paraId="04A10177" w14:textId="77777777" w:rsidR="00D04B85" w:rsidRPr="00703B7E" w:rsidRDefault="00D04B85" w:rsidP="00D04B85">
            <w:pPr>
              <w:rPr>
                <w:lang w:val="fr-FR"/>
              </w:rPr>
            </w:pPr>
            <w:proofErr w:type="gramStart"/>
            <w:r w:rsidRPr="00703B7E">
              <w:rPr>
                <w:b/>
                <w:bCs/>
                <w:lang w:val="fr-FR"/>
              </w:rPr>
              <w:t>SOURCE:</w:t>
            </w:r>
            <w:proofErr w:type="gramEnd"/>
            <w:r w:rsidRPr="00703B7E">
              <w:rPr>
                <w:lang w:val="fr-FR"/>
              </w:rPr>
              <w:t xml:space="preserve"> </w:t>
            </w:r>
            <w:hyperlink r:id="rId25" w:history="1">
              <w:r w:rsidRPr="00703B7E">
                <w:rPr>
                  <w:rStyle w:val="Hyperlink"/>
                  <w:lang w:val="fr-FR"/>
                </w:rPr>
                <w:t>https://www.hhs.gov/about/news/2023/02/09/fact-sheet-covid-19-public-health-emergency-transition-roadmap.html</w:t>
              </w:r>
            </w:hyperlink>
            <w:r w:rsidRPr="00703B7E">
              <w:rPr>
                <w:lang w:val="fr-FR"/>
              </w:rPr>
              <w:t xml:space="preserve"> </w:t>
            </w:r>
          </w:p>
          <w:p w14:paraId="38484CF4" w14:textId="77777777" w:rsidR="00D04B85" w:rsidRPr="00703B7E" w:rsidRDefault="00D04B85" w:rsidP="004B4E10">
            <w:pPr>
              <w:rPr>
                <w:lang w:val="fr-FR"/>
              </w:rPr>
            </w:pPr>
          </w:p>
        </w:tc>
      </w:tr>
      <w:tr w:rsidR="00D04B85" w:rsidRPr="00703B7E" w14:paraId="2969EE4F" w14:textId="77777777" w:rsidTr="00BD12A9">
        <w:tc>
          <w:tcPr>
            <w:tcW w:w="8905" w:type="dxa"/>
          </w:tcPr>
          <w:p w14:paraId="6DD0C8D0" w14:textId="77777777" w:rsidR="00D04B85" w:rsidRDefault="00D04B85" w:rsidP="00D04B85">
            <w:r>
              <w:lastRenderedPageBreak/>
              <w:t xml:space="preserve">“On October 28, 2020, CMS released an Interim Final Rule with comment period (IFC) announcing that </w:t>
            </w:r>
            <w:r w:rsidRPr="00724CBC">
              <w:rPr>
                <w:b/>
                <w:bCs/>
              </w:rPr>
              <w:t>Medicare Part B would establish coding and payment rates for COVID-19 vaccines and their administration as preventive vaccines, without cost-</w:t>
            </w:r>
            <w:proofErr w:type="gramStart"/>
            <w:r w:rsidRPr="00724CBC">
              <w:rPr>
                <w:b/>
                <w:bCs/>
              </w:rPr>
              <w:t>sharing, as soon as</w:t>
            </w:r>
            <w:proofErr w:type="gramEnd"/>
            <w:r w:rsidRPr="00724CBC">
              <w:rPr>
                <w:b/>
                <w:bCs/>
              </w:rPr>
              <w:t xml:space="preserve"> the Food and Drug Administration (FDA) authorized or approved the product through an Emergency Use Authorization (EUA) or Biologics License Application (BLA).</w:t>
            </w:r>
            <w:r>
              <w:t xml:space="preserve"> The IFC also implemented provisions of the CARES Act to ensure swift </w:t>
            </w:r>
            <w:r w:rsidRPr="00724CBC">
              <w:rPr>
                <w:b/>
                <w:bCs/>
              </w:rPr>
              <w:t>coverage of COVID-19 vaccines by private health insurance plans participating in the Health Insurance Marketplace, without cost sharing, from both in- and out-of-network providers, during the course of the public health emergency (PHE).</w:t>
            </w:r>
            <w:r>
              <w:t>”</w:t>
            </w:r>
          </w:p>
          <w:p w14:paraId="157ADC32" w14:textId="77777777" w:rsidR="00D04B85" w:rsidRDefault="00D04B85" w:rsidP="00D04B85"/>
        </w:tc>
        <w:tc>
          <w:tcPr>
            <w:tcW w:w="4410" w:type="dxa"/>
          </w:tcPr>
          <w:p w14:paraId="599FB8BA" w14:textId="2BFDD807" w:rsidR="00D04B85" w:rsidRPr="00703B7E" w:rsidRDefault="00D04B85" w:rsidP="00D04B85">
            <w:pPr>
              <w:rPr>
                <w:lang w:val="fr-FR"/>
              </w:rPr>
            </w:pPr>
            <w:proofErr w:type="gramStart"/>
            <w:r w:rsidRPr="00703B7E">
              <w:rPr>
                <w:b/>
                <w:bCs/>
                <w:lang w:val="fr-FR"/>
              </w:rPr>
              <w:t>SOURCE:</w:t>
            </w:r>
            <w:proofErr w:type="gramEnd"/>
            <w:r w:rsidRPr="00703B7E">
              <w:rPr>
                <w:lang w:val="fr-FR"/>
              </w:rPr>
              <w:t xml:space="preserve"> </w:t>
            </w:r>
            <w:hyperlink r:id="rId26" w:history="1">
              <w:r w:rsidRPr="00703B7E">
                <w:rPr>
                  <w:rStyle w:val="Hyperlink"/>
                  <w:lang w:val="fr-FR"/>
                </w:rPr>
                <w:t>https://www.cms.gov/files/document/physicians-and-other-clinicians-cms-flexibilities-fight-covid-19.pdf</w:t>
              </w:r>
            </w:hyperlink>
            <w:r w:rsidRPr="00703B7E">
              <w:rPr>
                <w:lang w:val="fr-FR"/>
              </w:rPr>
              <w:t xml:space="preserve"> </w:t>
            </w:r>
          </w:p>
          <w:p w14:paraId="255E3026" w14:textId="77777777" w:rsidR="00D04B85" w:rsidRPr="00703B7E" w:rsidRDefault="00D04B85" w:rsidP="004B4E10">
            <w:pPr>
              <w:rPr>
                <w:lang w:val="fr-FR"/>
              </w:rPr>
            </w:pPr>
          </w:p>
        </w:tc>
      </w:tr>
      <w:tr w:rsidR="00D04B85" w:rsidRPr="00703B7E" w14:paraId="4BC749BB" w14:textId="77777777" w:rsidTr="00BD12A9">
        <w:tc>
          <w:tcPr>
            <w:tcW w:w="8905" w:type="dxa"/>
          </w:tcPr>
          <w:p w14:paraId="31B96F81" w14:textId="77777777" w:rsidR="00D04B85" w:rsidRDefault="00D04B85" w:rsidP="00D04B85">
            <w:r>
              <w:t>“</w:t>
            </w:r>
            <w:r w:rsidRPr="00974044">
              <w:rPr>
                <w:b/>
                <w:bCs/>
              </w:rPr>
              <w:t>CMS will</w:t>
            </w:r>
            <w:r w:rsidRPr="00893EA8">
              <w:t xml:space="preserve"> </w:t>
            </w:r>
            <w:r w:rsidRPr="00974044">
              <w:rPr>
                <w:b/>
                <w:bCs/>
              </w:rPr>
              <w:t>continue to</w:t>
            </w:r>
            <w:r w:rsidRPr="00893EA8">
              <w:t xml:space="preserve"> </w:t>
            </w:r>
            <w:r w:rsidRPr="00412192">
              <w:rPr>
                <w:b/>
                <w:bCs/>
              </w:rPr>
              <w:t>pay approximately $40 per dose for administering COVID-19 vaccines in most outpatient settings for Medicare beneficiaries through the end of the calendar year in which the Secretary ends the EUA declaration for drugs and biologicals with respect to COVID- 19</w:t>
            </w:r>
            <w:r w:rsidRPr="00893EA8">
              <w:t>. The EUA declaration is distinct from, and not dependent on, the PHE for COVID-19.</w:t>
            </w:r>
          </w:p>
          <w:p w14:paraId="31F76F59" w14:textId="77777777" w:rsidR="00D04B85" w:rsidRDefault="00D04B85" w:rsidP="00D04B85"/>
          <w:p w14:paraId="0BD3EFFE" w14:textId="1A52E836" w:rsidR="00D04B85" w:rsidRDefault="00D04B85" w:rsidP="00D04B85">
            <w:r w:rsidRPr="00724CBC">
              <w:rPr>
                <w:b/>
                <w:bCs/>
              </w:rPr>
              <w:t>Effective January 1 of the year following the year in which the EUA declaration ends, CMS will set the payment rate for administering COVID-19 vaccines to align with the payment rate for administering other Medicare Part B preventive vaccines, that is, approximately $30 per dose</w:t>
            </w:r>
            <w:r w:rsidRPr="00893EA8">
              <w:t>.</w:t>
            </w:r>
            <w:r>
              <w:t>”</w:t>
            </w:r>
          </w:p>
          <w:p w14:paraId="5FE811A2" w14:textId="77777777" w:rsidR="00D04B85" w:rsidRDefault="00D04B85" w:rsidP="00D04B85"/>
        </w:tc>
        <w:tc>
          <w:tcPr>
            <w:tcW w:w="4410" w:type="dxa"/>
          </w:tcPr>
          <w:p w14:paraId="57C94856" w14:textId="77777777" w:rsidR="00D04B85" w:rsidRPr="00703B7E" w:rsidRDefault="00D04B85" w:rsidP="00D04B85">
            <w:pPr>
              <w:rPr>
                <w:lang w:val="fr-FR"/>
              </w:rPr>
            </w:pPr>
            <w:proofErr w:type="gramStart"/>
            <w:r w:rsidRPr="00703B7E">
              <w:rPr>
                <w:b/>
                <w:bCs/>
                <w:lang w:val="fr-FR"/>
              </w:rPr>
              <w:t>SOURCE</w:t>
            </w:r>
            <w:r w:rsidRPr="00703B7E">
              <w:rPr>
                <w:lang w:val="fr-FR"/>
              </w:rPr>
              <w:t>:</w:t>
            </w:r>
            <w:proofErr w:type="gramEnd"/>
            <w:r w:rsidRPr="00703B7E">
              <w:rPr>
                <w:lang w:val="fr-FR"/>
              </w:rPr>
              <w:t xml:space="preserve"> </w:t>
            </w:r>
            <w:hyperlink r:id="rId27" w:history="1">
              <w:r w:rsidRPr="00703B7E">
                <w:rPr>
                  <w:rStyle w:val="Hyperlink"/>
                  <w:lang w:val="fr-FR"/>
                </w:rPr>
                <w:t>https://www.cms.gov/files/document/physicians-and-other-clinicians-cms-flexibilities-fight-covid-19.pdf</w:t>
              </w:r>
            </w:hyperlink>
            <w:r w:rsidRPr="00703B7E">
              <w:rPr>
                <w:lang w:val="fr-FR"/>
              </w:rPr>
              <w:t xml:space="preserve"> </w:t>
            </w:r>
          </w:p>
          <w:p w14:paraId="64F951E2" w14:textId="77777777" w:rsidR="00D04B85" w:rsidRPr="00703B7E" w:rsidRDefault="00D04B85" w:rsidP="004B4E10">
            <w:pPr>
              <w:rPr>
                <w:lang w:val="fr-FR"/>
              </w:rPr>
            </w:pPr>
          </w:p>
        </w:tc>
      </w:tr>
      <w:tr w:rsidR="00D04B85" w:rsidRPr="00703B7E" w14:paraId="77EE0FDD" w14:textId="77777777" w:rsidTr="00BD12A9">
        <w:tc>
          <w:tcPr>
            <w:tcW w:w="8905" w:type="dxa"/>
          </w:tcPr>
          <w:p w14:paraId="1E1803B5" w14:textId="77777777" w:rsidR="00D04B85" w:rsidRDefault="00D04B85" w:rsidP="00D04B85">
            <w:r>
              <w:t xml:space="preserve">“In calendar year 2023, </w:t>
            </w:r>
            <w:r w:rsidRPr="00724CBC">
              <w:rPr>
                <w:b/>
                <w:bCs/>
              </w:rPr>
              <w:t>CMS will pay approximately $36 in addition to the standard administration amount (approximately $40 per dose) to administer COVID-19 vaccines in the home for certain Medicare patients.</w:t>
            </w:r>
            <w:r>
              <w:t xml:space="preserve"> For vaccines requiring multiple doses, this paymen</w:t>
            </w:r>
            <w:r w:rsidRPr="00724CBC">
              <w:rPr>
                <w:b/>
                <w:bCs/>
              </w:rPr>
              <w:t>t applies for each dose in the series</w:t>
            </w:r>
            <w:r>
              <w:t xml:space="preserve">, including any additional or booster doses. We also geographically adjust the additional amount and administration rate based on where you administer the vaccine. </w:t>
            </w:r>
            <w:r w:rsidRPr="00724CBC">
              <w:rPr>
                <w:b/>
                <w:bCs/>
              </w:rPr>
              <w:t>Starting January 1, 2023, we’ll also annually update the additional in-home payment rate for administering the COVID-19 vaccine to reflect changes in costs related to administering preventive vaccines.</w:t>
            </w:r>
            <w:r>
              <w:t>”</w:t>
            </w:r>
          </w:p>
          <w:p w14:paraId="376463B9" w14:textId="77777777" w:rsidR="00D04B85" w:rsidRDefault="00D04B85" w:rsidP="004B4E10"/>
        </w:tc>
        <w:tc>
          <w:tcPr>
            <w:tcW w:w="4410" w:type="dxa"/>
          </w:tcPr>
          <w:p w14:paraId="4726678D" w14:textId="77777777" w:rsidR="00D04B85" w:rsidRPr="00703B7E" w:rsidRDefault="00D04B85" w:rsidP="00D04B85">
            <w:pPr>
              <w:rPr>
                <w:lang w:val="fr-FR"/>
              </w:rPr>
            </w:pPr>
            <w:proofErr w:type="gramStart"/>
            <w:r w:rsidRPr="00703B7E">
              <w:rPr>
                <w:b/>
                <w:bCs/>
                <w:lang w:val="fr-FR"/>
              </w:rPr>
              <w:t>SOURCE</w:t>
            </w:r>
            <w:r w:rsidRPr="00703B7E">
              <w:rPr>
                <w:lang w:val="fr-FR"/>
              </w:rPr>
              <w:t>:</w:t>
            </w:r>
            <w:proofErr w:type="gramEnd"/>
            <w:r w:rsidRPr="00703B7E">
              <w:rPr>
                <w:lang w:val="fr-FR"/>
              </w:rPr>
              <w:t xml:space="preserve"> </w:t>
            </w:r>
            <w:hyperlink r:id="rId28" w:history="1">
              <w:r w:rsidRPr="00703B7E">
                <w:rPr>
                  <w:rStyle w:val="Hyperlink"/>
                  <w:lang w:val="fr-FR"/>
                </w:rPr>
                <w:t>https://www.cms.gov/files/document/physicians-and-other-clinicians-cms-flexibilities-fight-covid-19.pdf</w:t>
              </w:r>
            </w:hyperlink>
            <w:r w:rsidRPr="00703B7E">
              <w:rPr>
                <w:lang w:val="fr-FR"/>
              </w:rPr>
              <w:t xml:space="preserve"> </w:t>
            </w:r>
          </w:p>
          <w:p w14:paraId="2152936A" w14:textId="77777777" w:rsidR="00D04B85" w:rsidRPr="00703B7E" w:rsidRDefault="00D04B85" w:rsidP="004B4E10">
            <w:pPr>
              <w:rPr>
                <w:lang w:val="fr-FR"/>
              </w:rPr>
            </w:pPr>
          </w:p>
        </w:tc>
      </w:tr>
      <w:tr w:rsidR="00D04B85" w:rsidRPr="00703B7E" w14:paraId="2E50BF5D" w14:textId="77777777" w:rsidTr="00BD12A9">
        <w:tc>
          <w:tcPr>
            <w:tcW w:w="8905" w:type="dxa"/>
          </w:tcPr>
          <w:p w14:paraId="79B3DB97" w14:textId="77777777" w:rsidR="00D04B85" w:rsidRDefault="00D04B85" w:rsidP="00D04B85">
            <w:r>
              <w:t>“[CMS will]</w:t>
            </w:r>
            <w:r w:rsidRPr="00893EA8">
              <w:t xml:space="preserve"> </w:t>
            </w:r>
            <w:r w:rsidRPr="00724CBC">
              <w:rPr>
                <w:b/>
                <w:bCs/>
              </w:rPr>
              <w:t>continue to pay a total payment of approximately $76 per dose to administer COVID-19 vaccines in the home for certain Medicare patients through calendar year 2023</w:t>
            </w:r>
            <w:r w:rsidRPr="00893EA8">
              <w:t xml:space="preserve">. </w:t>
            </w:r>
            <w:r w:rsidRPr="00974044">
              <w:rPr>
                <w:b/>
                <w:bCs/>
                <w:i/>
                <w:iCs/>
              </w:rPr>
              <w:t>The additional payment is not affected by the end of the PHE</w:t>
            </w:r>
            <w:r w:rsidRPr="00893EA8">
              <w:t>.</w:t>
            </w:r>
            <w:r>
              <w:t>”</w:t>
            </w:r>
          </w:p>
          <w:p w14:paraId="02E380A2" w14:textId="77777777" w:rsidR="00D04B85" w:rsidRDefault="00D04B85" w:rsidP="00D04B85"/>
        </w:tc>
        <w:tc>
          <w:tcPr>
            <w:tcW w:w="4410" w:type="dxa"/>
          </w:tcPr>
          <w:p w14:paraId="1F2F0EB6" w14:textId="77777777" w:rsidR="00D04B85" w:rsidRPr="00703B7E" w:rsidRDefault="00D04B85" w:rsidP="00D04B85">
            <w:pPr>
              <w:rPr>
                <w:lang w:val="fr-FR"/>
              </w:rPr>
            </w:pPr>
            <w:proofErr w:type="gramStart"/>
            <w:r w:rsidRPr="00703B7E">
              <w:rPr>
                <w:b/>
                <w:bCs/>
                <w:lang w:val="fr-FR"/>
              </w:rPr>
              <w:t>SOURCE</w:t>
            </w:r>
            <w:r w:rsidRPr="00703B7E">
              <w:rPr>
                <w:lang w:val="fr-FR"/>
              </w:rPr>
              <w:t>:</w:t>
            </w:r>
            <w:proofErr w:type="gramEnd"/>
            <w:r w:rsidRPr="00703B7E">
              <w:rPr>
                <w:lang w:val="fr-FR"/>
              </w:rPr>
              <w:t xml:space="preserve"> </w:t>
            </w:r>
            <w:hyperlink r:id="rId29" w:history="1">
              <w:r w:rsidRPr="00703B7E">
                <w:rPr>
                  <w:rStyle w:val="Hyperlink"/>
                  <w:lang w:val="fr-FR"/>
                </w:rPr>
                <w:t>https://www.cms.gov/files/document/physicians-and-other-clinicians-cms-flexibilities-fight-covid-19.pdf</w:t>
              </w:r>
            </w:hyperlink>
            <w:r w:rsidRPr="00703B7E">
              <w:rPr>
                <w:lang w:val="fr-FR"/>
              </w:rPr>
              <w:t xml:space="preserve"> </w:t>
            </w:r>
          </w:p>
          <w:p w14:paraId="6CCA7754" w14:textId="77777777" w:rsidR="00D04B85" w:rsidRPr="00703B7E" w:rsidRDefault="00D04B85" w:rsidP="004B4E10">
            <w:pPr>
              <w:rPr>
                <w:lang w:val="fr-FR"/>
              </w:rPr>
            </w:pPr>
          </w:p>
        </w:tc>
      </w:tr>
      <w:tr w:rsidR="00D04B85" w:rsidRPr="00703B7E" w14:paraId="60EFB8D7" w14:textId="77777777" w:rsidTr="00BD12A9">
        <w:tc>
          <w:tcPr>
            <w:tcW w:w="8905" w:type="dxa"/>
          </w:tcPr>
          <w:p w14:paraId="43F1F272" w14:textId="77777777" w:rsidR="00D04B85" w:rsidRDefault="00D04B85" w:rsidP="00D04B85">
            <w:r>
              <w:t>“There are currently no COVID-19 monoclonal antibodies approved or authorized for use against the dominant strains of COVID-19 in the United States.</w:t>
            </w:r>
          </w:p>
          <w:p w14:paraId="33EED788" w14:textId="77777777" w:rsidR="00D04B85" w:rsidRDefault="00D04B85" w:rsidP="00D04B85">
            <w:r>
              <w:t xml:space="preserve">  </w:t>
            </w:r>
          </w:p>
          <w:p w14:paraId="6CCF4742" w14:textId="77777777" w:rsidR="00D04B85" w:rsidRDefault="00D04B85" w:rsidP="00D04B85">
            <w:r>
              <w:t xml:space="preserve">The FDA issued emergency use authorizations (EUA) for monoclonal antibody therapies used for the treatment of mild-to-moderate COVID-19 in adults and pediatric patients with positive COVID-19 test results who are at high risk for progressing to severe COVID-19 and/or hospitalization. The FDA also issued </w:t>
            </w:r>
            <w:r>
              <w:lastRenderedPageBreak/>
              <w:t>an EUA for a monoclonal antibody product used as a pre-exposure prophylaxis of COVID-19 in adults and pediatric patients with certain conditions.</w:t>
            </w:r>
          </w:p>
          <w:p w14:paraId="66ED9A6C" w14:textId="77777777" w:rsidR="00D04B85" w:rsidRDefault="00D04B85" w:rsidP="00D04B85"/>
          <w:p w14:paraId="444A0D5B" w14:textId="77777777" w:rsidR="00D04B85" w:rsidRPr="00724CBC" w:rsidRDefault="00D04B85" w:rsidP="00D04B85">
            <w:pPr>
              <w:rPr>
                <w:b/>
                <w:bCs/>
              </w:rPr>
            </w:pPr>
            <w:r w:rsidRPr="00724CBC">
              <w:rPr>
                <w:b/>
                <w:bCs/>
              </w:rPr>
              <w:t>During the EUA declaration for drugs and biologicals with respect to COVID-19, CMS covers and pays for these infusions or injections the same way it covers and pays for COVID-19 vaccines when furnished consistent with the EUA. There’s also no beneficiary cost sharing and no deductible for COVID-19 monoclonal antibody products when providers administer them. In the event these products become approved or authorized for use, they will continue to be covered and paid under the Medicare Part B preventive vaccine benefit until the end of the calendar year in which the Secretary ends the EUA declaration. This coverage and payment will continue even after the PHE ends.</w:t>
            </w:r>
          </w:p>
          <w:p w14:paraId="67EF3A04" w14:textId="77777777" w:rsidR="00D04B85" w:rsidRDefault="00D04B85" w:rsidP="00D04B85"/>
          <w:p w14:paraId="5F91A31D" w14:textId="77777777" w:rsidR="00D04B85" w:rsidRDefault="00D04B85" w:rsidP="00D04B85">
            <w:r>
              <w:t>CMS doesn’t pay for the COVID-19 monoclonal antibody product when a health care setting has received it for free. If a health care setting purchased the product from the manufacturer, Medicare pays the reasonable cost or 95% of the average wholesale price.”</w:t>
            </w:r>
          </w:p>
          <w:p w14:paraId="6ACA2847" w14:textId="77777777" w:rsidR="00D04B85" w:rsidRDefault="00D04B85" w:rsidP="00D04B85"/>
        </w:tc>
        <w:tc>
          <w:tcPr>
            <w:tcW w:w="4410" w:type="dxa"/>
          </w:tcPr>
          <w:p w14:paraId="0337760F" w14:textId="77777777" w:rsidR="00D04B85" w:rsidRPr="00703B7E" w:rsidRDefault="00D04B85" w:rsidP="00D04B85">
            <w:pPr>
              <w:rPr>
                <w:lang w:val="fr-FR"/>
              </w:rPr>
            </w:pPr>
            <w:proofErr w:type="gramStart"/>
            <w:r w:rsidRPr="00703B7E">
              <w:rPr>
                <w:b/>
                <w:bCs/>
                <w:lang w:val="fr-FR"/>
              </w:rPr>
              <w:lastRenderedPageBreak/>
              <w:t>SOURCE</w:t>
            </w:r>
            <w:r w:rsidRPr="00703B7E">
              <w:rPr>
                <w:lang w:val="fr-FR"/>
              </w:rPr>
              <w:t>:</w:t>
            </w:r>
            <w:proofErr w:type="gramEnd"/>
            <w:r w:rsidRPr="00703B7E">
              <w:rPr>
                <w:lang w:val="fr-FR"/>
              </w:rPr>
              <w:t xml:space="preserve"> </w:t>
            </w:r>
            <w:hyperlink r:id="rId30" w:history="1">
              <w:r w:rsidRPr="00703B7E">
                <w:rPr>
                  <w:rStyle w:val="Hyperlink"/>
                  <w:lang w:val="fr-FR"/>
                </w:rPr>
                <w:t>https://www.cms.gov/files/document/physicians-and-other-clinicians-cms-flexibilities-fight-covid-19.pdf</w:t>
              </w:r>
            </w:hyperlink>
            <w:r w:rsidRPr="00703B7E">
              <w:rPr>
                <w:lang w:val="fr-FR"/>
              </w:rPr>
              <w:t xml:space="preserve"> </w:t>
            </w:r>
          </w:p>
          <w:p w14:paraId="68780F4C" w14:textId="77777777" w:rsidR="00D04B85" w:rsidRPr="00703B7E" w:rsidRDefault="00D04B85" w:rsidP="004B4E10">
            <w:pPr>
              <w:rPr>
                <w:lang w:val="fr-FR"/>
              </w:rPr>
            </w:pPr>
          </w:p>
        </w:tc>
      </w:tr>
      <w:tr w:rsidR="00D04B85" w:rsidRPr="00703B7E" w14:paraId="40E19C8E" w14:textId="77777777" w:rsidTr="00BD12A9">
        <w:tc>
          <w:tcPr>
            <w:tcW w:w="8905" w:type="dxa"/>
          </w:tcPr>
          <w:p w14:paraId="20DDEBF7" w14:textId="77777777" w:rsidR="00D04B85" w:rsidRPr="00974044" w:rsidRDefault="00D04B85" w:rsidP="00D04B85">
            <w:pPr>
              <w:rPr>
                <w:b/>
                <w:bCs/>
                <w:i/>
                <w:iCs/>
              </w:rPr>
            </w:pPr>
            <w:r>
              <w:t>“</w:t>
            </w:r>
            <w:r w:rsidRPr="00974044">
              <w:rPr>
                <w:b/>
                <w:bCs/>
                <w:i/>
                <w:iCs/>
              </w:rPr>
              <w:t>Effective January 1 of the year following the year in which the Secretary ends the EUA declaration for drugs and biologicals with respect to COVID-19, CMS will pay for monoclonal antibodies used for the treatment or for post-exposure prophylaxis of COVID-19:</w:t>
            </w:r>
          </w:p>
          <w:p w14:paraId="7CB22676" w14:textId="77777777" w:rsidR="00D04B85" w:rsidRPr="00974044" w:rsidRDefault="00D04B85" w:rsidP="00D04B85">
            <w:pPr>
              <w:rPr>
                <w:b/>
                <w:bCs/>
                <w:i/>
                <w:iCs/>
              </w:rPr>
            </w:pPr>
          </w:p>
          <w:p w14:paraId="597A84DC" w14:textId="77777777" w:rsidR="00D04B85" w:rsidRPr="00974044" w:rsidRDefault="00D04B85" w:rsidP="00D04B85">
            <w:pPr>
              <w:pStyle w:val="ListParagraph"/>
              <w:numPr>
                <w:ilvl w:val="0"/>
                <w:numId w:val="2"/>
              </w:numPr>
              <w:rPr>
                <w:b/>
                <w:bCs/>
                <w:i/>
                <w:iCs/>
              </w:rPr>
            </w:pPr>
            <w:r w:rsidRPr="00974044">
              <w:rPr>
                <w:b/>
                <w:bCs/>
                <w:i/>
                <w:iCs/>
              </w:rPr>
              <w:t>As we pay for biological products under Section 1847A of the Social Security Act.</w:t>
            </w:r>
          </w:p>
          <w:p w14:paraId="4C47DFD6" w14:textId="77777777" w:rsidR="00D04B85" w:rsidRPr="00974044" w:rsidRDefault="00D04B85" w:rsidP="00D04B85">
            <w:pPr>
              <w:pStyle w:val="ListParagraph"/>
              <w:numPr>
                <w:ilvl w:val="0"/>
                <w:numId w:val="2"/>
              </w:numPr>
              <w:rPr>
                <w:b/>
                <w:bCs/>
                <w:i/>
                <w:iCs/>
              </w:rPr>
            </w:pPr>
            <w:r w:rsidRPr="00974044">
              <w:rPr>
                <w:b/>
                <w:bCs/>
                <w:i/>
                <w:iCs/>
              </w:rPr>
              <w:t>Through the applicable payment system, using the appropriate coding and payment rates, similar to the way we pay for administering other complex biological products.</w:t>
            </w:r>
          </w:p>
          <w:p w14:paraId="7C62EE81" w14:textId="77777777" w:rsidR="00D04B85" w:rsidRDefault="00D04B85" w:rsidP="00D04B85"/>
          <w:p w14:paraId="7A64BBED" w14:textId="77777777" w:rsidR="00D04B85" w:rsidRPr="00395CB2" w:rsidRDefault="00D04B85" w:rsidP="00D04B85">
            <w:r>
              <w:t>Monoclonal antibodies that are used for pre-exposure prophylaxis prevention of COVID-19 will continue to be paid under the Part B preventive vaccine benefit if they meet applicable coverage requirements.”</w:t>
            </w:r>
          </w:p>
          <w:p w14:paraId="6792EEF6" w14:textId="77777777" w:rsidR="00D04B85" w:rsidRDefault="00D04B85" w:rsidP="00D04B85"/>
        </w:tc>
        <w:tc>
          <w:tcPr>
            <w:tcW w:w="4410" w:type="dxa"/>
          </w:tcPr>
          <w:p w14:paraId="28F3671B" w14:textId="77777777" w:rsidR="00D04B85" w:rsidRPr="00703B7E" w:rsidRDefault="00D04B85" w:rsidP="00D04B85">
            <w:pPr>
              <w:rPr>
                <w:lang w:val="fr-FR"/>
              </w:rPr>
            </w:pPr>
            <w:proofErr w:type="gramStart"/>
            <w:r w:rsidRPr="00703B7E">
              <w:rPr>
                <w:b/>
                <w:bCs/>
                <w:lang w:val="fr-FR"/>
              </w:rPr>
              <w:t>SOURCE</w:t>
            </w:r>
            <w:r w:rsidRPr="00703B7E">
              <w:rPr>
                <w:lang w:val="fr-FR"/>
              </w:rPr>
              <w:t>:</w:t>
            </w:r>
            <w:proofErr w:type="gramEnd"/>
            <w:r w:rsidRPr="00703B7E">
              <w:rPr>
                <w:lang w:val="fr-FR"/>
              </w:rPr>
              <w:t xml:space="preserve"> </w:t>
            </w:r>
            <w:hyperlink r:id="rId31" w:history="1">
              <w:r w:rsidRPr="00703B7E">
                <w:rPr>
                  <w:rStyle w:val="Hyperlink"/>
                  <w:lang w:val="fr-FR"/>
                </w:rPr>
                <w:t>https://www.cms.gov/files/document/physicians-and-other-clinicians-cms-flexibilities-fight-covid-19.pdf</w:t>
              </w:r>
            </w:hyperlink>
            <w:r w:rsidRPr="00703B7E">
              <w:rPr>
                <w:lang w:val="fr-FR"/>
              </w:rPr>
              <w:t xml:space="preserve"> </w:t>
            </w:r>
          </w:p>
          <w:p w14:paraId="0AE651ED" w14:textId="77777777" w:rsidR="00D04B85" w:rsidRPr="00703B7E" w:rsidRDefault="00D04B85" w:rsidP="004B4E10">
            <w:pPr>
              <w:rPr>
                <w:lang w:val="fr-FR"/>
              </w:rPr>
            </w:pPr>
          </w:p>
        </w:tc>
      </w:tr>
      <w:tr w:rsidR="00D04B85" w:rsidRPr="00703B7E" w14:paraId="0B6BC4C7" w14:textId="77777777" w:rsidTr="00BD12A9">
        <w:tc>
          <w:tcPr>
            <w:tcW w:w="8905" w:type="dxa"/>
          </w:tcPr>
          <w:p w14:paraId="4F2C6E37" w14:textId="77777777" w:rsidR="00D04B85" w:rsidRDefault="00D04B85" w:rsidP="00D04B85">
            <w:r>
              <w:t>“</w:t>
            </w:r>
            <w:r w:rsidRPr="00724CBC">
              <w:rPr>
                <w:b/>
                <w:bCs/>
              </w:rPr>
              <w:t>Oral antivirals that are procured by the U.S. government (USG) and provided to pharmacies are provided to patients at no cost. This process will continue while oral antivirals are being procured by the USG.</w:t>
            </w:r>
          </w:p>
          <w:p w14:paraId="768D2485" w14:textId="77777777" w:rsidR="00D04B85" w:rsidRDefault="00D04B85" w:rsidP="00D04B85"/>
          <w:p w14:paraId="1FBEFBC7" w14:textId="77777777" w:rsidR="00D04B85" w:rsidRDefault="00D04B85" w:rsidP="00D04B85">
            <w:r>
              <w:t xml:space="preserve"> The FDA issued an emergency use authorization (EUA) for oral antivirals for the treatment of</w:t>
            </w:r>
          </w:p>
          <w:p w14:paraId="7CCDC5B3" w14:textId="77777777" w:rsidR="00D04B85" w:rsidRPr="00395CB2" w:rsidRDefault="00D04B85" w:rsidP="00D04B85">
            <w:r>
              <w:t xml:space="preserve"> mild-to-moderate coronavirus disease (COVID-19) in adults and pediatric patients.”</w:t>
            </w:r>
          </w:p>
          <w:p w14:paraId="2A3FDAEA" w14:textId="77777777" w:rsidR="00D04B85" w:rsidRDefault="00D04B85" w:rsidP="00D04B85"/>
        </w:tc>
        <w:tc>
          <w:tcPr>
            <w:tcW w:w="4410" w:type="dxa"/>
          </w:tcPr>
          <w:p w14:paraId="64499CA9" w14:textId="77777777" w:rsidR="00D04B85" w:rsidRPr="00703B7E" w:rsidRDefault="00D04B85" w:rsidP="00D04B85">
            <w:pPr>
              <w:rPr>
                <w:lang w:val="fr-FR"/>
              </w:rPr>
            </w:pPr>
            <w:proofErr w:type="gramStart"/>
            <w:r w:rsidRPr="00703B7E">
              <w:rPr>
                <w:b/>
                <w:bCs/>
                <w:lang w:val="fr-FR"/>
              </w:rPr>
              <w:t>SOURCE</w:t>
            </w:r>
            <w:r w:rsidRPr="00703B7E">
              <w:rPr>
                <w:lang w:val="fr-FR"/>
              </w:rPr>
              <w:t>:</w:t>
            </w:r>
            <w:proofErr w:type="gramEnd"/>
            <w:r w:rsidRPr="00703B7E">
              <w:rPr>
                <w:lang w:val="fr-FR"/>
              </w:rPr>
              <w:t xml:space="preserve"> </w:t>
            </w:r>
            <w:hyperlink r:id="rId32" w:history="1">
              <w:r w:rsidRPr="00703B7E">
                <w:rPr>
                  <w:rStyle w:val="Hyperlink"/>
                  <w:lang w:val="fr-FR"/>
                </w:rPr>
                <w:t>https://www.cms.gov/files/document/physicians-and-other-clinicians-cms-flexibilities-fight-covid-19.pdf</w:t>
              </w:r>
            </w:hyperlink>
            <w:r w:rsidRPr="00703B7E">
              <w:rPr>
                <w:lang w:val="fr-FR"/>
              </w:rPr>
              <w:t xml:space="preserve"> </w:t>
            </w:r>
          </w:p>
          <w:p w14:paraId="6EBE08FD" w14:textId="77777777" w:rsidR="00D04B85" w:rsidRPr="00703B7E" w:rsidRDefault="00D04B85" w:rsidP="004B4E10">
            <w:pPr>
              <w:rPr>
                <w:lang w:val="fr-FR"/>
              </w:rPr>
            </w:pPr>
          </w:p>
        </w:tc>
      </w:tr>
      <w:tr w:rsidR="00D04B85" w:rsidRPr="00703B7E" w14:paraId="7AB71805" w14:textId="77777777" w:rsidTr="00BD12A9">
        <w:tc>
          <w:tcPr>
            <w:tcW w:w="8905" w:type="dxa"/>
          </w:tcPr>
          <w:p w14:paraId="0C5A34E3" w14:textId="77777777" w:rsidR="00D04B85" w:rsidRDefault="00D04B85" w:rsidP="00D04B85">
            <w:r>
              <w:t>“</w:t>
            </w:r>
            <w:r w:rsidRPr="00974044">
              <w:rPr>
                <w:b/>
                <w:bCs/>
              </w:rPr>
              <w:t>Oral antivirals for COVID-19</w:t>
            </w:r>
            <w:r>
              <w:t xml:space="preserve"> that otherwise meet the statutory requirements for Part D coverage at section 1860D-2(e) of the Social Security Act and are not procured by the US government </w:t>
            </w:r>
            <w:r w:rsidRPr="00974044">
              <w:rPr>
                <w:b/>
                <w:bCs/>
              </w:rPr>
              <w:t>must be covered by Part D plans, as a formulary product or through the formulary exception process</w:t>
            </w:r>
            <w:r>
              <w:t xml:space="preserve">. This applies to oral antivirals for COVID-19 with emergency use authorization (EUA) under section 564 of the Federal Food, </w:t>
            </w:r>
            <w:r>
              <w:lastRenderedPageBreak/>
              <w:t>Drug and Cosmetic Act through December 31, 2024, consistent with Section 4131 of the Consolidated Appropriations Act,2023 and any such products that receive FDA approval.”</w:t>
            </w:r>
          </w:p>
          <w:p w14:paraId="788CA3F6" w14:textId="77777777" w:rsidR="00D04B85" w:rsidRDefault="00D04B85" w:rsidP="00D04B85"/>
        </w:tc>
        <w:tc>
          <w:tcPr>
            <w:tcW w:w="4410" w:type="dxa"/>
          </w:tcPr>
          <w:p w14:paraId="5B48E0ED" w14:textId="77777777" w:rsidR="00D04B85" w:rsidRPr="00703B7E" w:rsidRDefault="00D04B85" w:rsidP="00D04B85">
            <w:pPr>
              <w:rPr>
                <w:lang w:val="fr-FR"/>
              </w:rPr>
            </w:pPr>
            <w:proofErr w:type="gramStart"/>
            <w:r w:rsidRPr="00703B7E">
              <w:rPr>
                <w:b/>
                <w:bCs/>
                <w:lang w:val="fr-FR"/>
              </w:rPr>
              <w:lastRenderedPageBreak/>
              <w:t>SOURCE</w:t>
            </w:r>
            <w:r w:rsidRPr="00703B7E">
              <w:rPr>
                <w:lang w:val="fr-FR"/>
              </w:rPr>
              <w:t>:</w:t>
            </w:r>
            <w:proofErr w:type="gramEnd"/>
            <w:r w:rsidRPr="00703B7E">
              <w:rPr>
                <w:lang w:val="fr-FR"/>
              </w:rPr>
              <w:t xml:space="preserve"> </w:t>
            </w:r>
            <w:hyperlink r:id="rId33" w:history="1">
              <w:r w:rsidRPr="00703B7E">
                <w:rPr>
                  <w:rStyle w:val="Hyperlink"/>
                  <w:lang w:val="fr-FR"/>
                </w:rPr>
                <w:t>https://www.cms.gov/files/document/physicians-and-other-clinicians-cms-flexibilities-fight-covid-19.pdf</w:t>
              </w:r>
            </w:hyperlink>
            <w:r w:rsidRPr="00703B7E">
              <w:rPr>
                <w:lang w:val="fr-FR"/>
              </w:rPr>
              <w:t xml:space="preserve"> </w:t>
            </w:r>
          </w:p>
          <w:p w14:paraId="467B13E5" w14:textId="77777777" w:rsidR="00D04B85" w:rsidRPr="00703B7E" w:rsidRDefault="00D04B85" w:rsidP="004B4E10">
            <w:pPr>
              <w:rPr>
                <w:lang w:val="fr-FR"/>
              </w:rPr>
            </w:pPr>
          </w:p>
        </w:tc>
      </w:tr>
      <w:tr w:rsidR="00D04B85" w:rsidRPr="00703B7E" w14:paraId="064DA5B9" w14:textId="77777777" w:rsidTr="00BD12A9">
        <w:tc>
          <w:tcPr>
            <w:tcW w:w="8905" w:type="dxa"/>
          </w:tcPr>
          <w:p w14:paraId="43B6A9CD" w14:textId="77777777" w:rsidR="00D04B85" w:rsidRDefault="00D04B85" w:rsidP="00D04B85">
            <w:r>
              <w:t xml:space="preserve">“As of April 25, 2022, </w:t>
            </w:r>
            <w:r w:rsidRPr="00974044">
              <w:rPr>
                <w:b/>
                <w:bCs/>
              </w:rPr>
              <w:t>VEKLURYTM (remdesivir) is approved for the treatment of COVID-19</w:t>
            </w:r>
            <w:r>
              <w:t xml:space="preserve">. The federal government didn’t purchase a supply of remdesivir. </w:t>
            </w:r>
            <w:r w:rsidRPr="00974044">
              <w:rPr>
                <w:b/>
                <w:bCs/>
              </w:rPr>
              <w:t>Medicare Part B provides payment for the drug and its administration under the applicable Medicare Part B payment policy when a facility or practitioner provides it in the outpatient setting,</w:t>
            </w:r>
            <w:r>
              <w:t xml:space="preserve"> according to the FDA approval. In most cases, the Medicare patient’s yearly Part B deductible and 20% co-insurance apply.”</w:t>
            </w:r>
          </w:p>
          <w:p w14:paraId="5D21843B" w14:textId="77777777" w:rsidR="00D04B85" w:rsidRDefault="00D04B85" w:rsidP="00D04B85"/>
        </w:tc>
        <w:tc>
          <w:tcPr>
            <w:tcW w:w="4410" w:type="dxa"/>
          </w:tcPr>
          <w:p w14:paraId="709086E4" w14:textId="77777777" w:rsidR="00D04B85" w:rsidRPr="00703B7E" w:rsidRDefault="00D04B85" w:rsidP="00D04B85">
            <w:pPr>
              <w:rPr>
                <w:lang w:val="fr-FR"/>
              </w:rPr>
            </w:pPr>
            <w:proofErr w:type="gramStart"/>
            <w:r w:rsidRPr="00703B7E">
              <w:rPr>
                <w:b/>
                <w:bCs/>
                <w:lang w:val="fr-FR"/>
              </w:rPr>
              <w:t>SOURCE</w:t>
            </w:r>
            <w:r w:rsidRPr="00703B7E">
              <w:rPr>
                <w:lang w:val="fr-FR"/>
              </w:rPr>
              <w:t>:</w:t>
            </w:r>
            <w:proofErr w:type="gramEnd"/>
            <w:r w:rsidRPr="00703B7E">
              <w:rPr>
                <w:lang w:val="fr-FR"/>
              </w:rPr>
              <w:t xml:space="preserve"> </w:t>
            </w:r>
            <w:hyperlink r:id="rId34" w:history="1">
              <w:r w:rsidRPr="00703B7E">
                <w:rPr>
                  <w:rStyle w:val="Hyperlink"/>
                  <w:lang w:val="fr-FR"/>
                </w:rPr>
                <w:t>https://www.cms.gov/files/document/physicians-and-other-clinicians-cms-flexibilities-fight-covid-19.pdf</w:t>
              </w:r>
            </w:hyperlink>
            <w:r w:rsidRPr="00703B7E">
              <w:rPr>
                <w:lang w:val="fr-FR"/>
              </w:rPr>
              <w:t xml:space="preserve"> </w:t>
            </w:r>
          </w:p>
          <w:p w14:paraId="69DAB48E" w14:textId="77777777" w:rsidR="00D04B85" w:rsidRPr="00703B7E" w:rsidRDefault="00D04B85" w:rsidP="004B4E10">
            <w:pPr>
              <w:rPr>
                <w:lang w:val="fr-FR"/>
              </w:rPr>
            </w:pPr>
          </w:p>
        </w:tc>
      </w:tr>
    </w:tbl>
    <w:p w14:paraId="666732C8" w14:textId="77777777" w:rsidR="004B4E10" w:rsidRPr="00703B7E" w:rsidRDefault="004B4E10" w:rsidP="004B4E10">
      <w:pPr>
        <w:rPr>
          <w:lang w:val="fr-FR"/>
        </w:rPr>
      </w:pPr>
    </w:p>
    <w:p w14:paraId="650BF19E" w14:textId="44C13B6A" w:rsidR="00671504" w:rsidRPr="004B4E10" w:rsidRDefault="00671504" w:rsidP="00671504">
      <w:pPr>
        <w:pStyle w:val="Heading2"/>
        <w:rPr>
          <w:b/>
          <w:bCs/>
        </w:rPr>
      </w:pPr>
      <w:bookmarkStart w:id="5" w:name="_Medicaid_Coverage"/>
      <w:bookmarkEnd w:id="5"/>
      <w:r w:rsidRPr="004B4E10">
        <w:rPr>
          <w:b/>
          <w:bCs/>
        </w:rPr>
        <w:t>Medicaid</w:t>
      </w:r>
      <w:r w:rsidR="004B4E10" w:rsidRPr="004B4E10">
        <w:rPr>
          <w:b/>
          <w:bCs/>
        </w:rPr>
        <w:t xml:space="preserve"> Coverage</w:t>
      </w:r>
    </w:p>
    <w:tbl>
      <w:tblPr>
        <w:tblStyle w:val="TableGrid"/>
        <w:tblW w:w="13315" w:type="dxa"/>
        <w:tblLayout w:type="fixed"/>
        <w:tblLook w:val="04A0" w:firstRow="1" w:lastRow="0" w:firstColumn="1" w:lastColumn="0" w:noHBand="0" w:noVBand="1"/>
      </w:tblPr>
      <w:tblGrid>
        <w:gridCol w:w="8905"/>
        <w:gridCol w:w="4410"/>
      </w:tblGrid>
      <w:tr w:rsidR="00D04B85" w:rsidRPr="00703B7E" w14:paraId="4DB1241C" w14:textId="77777777" w:rsidTr="00BD12A9">
        <w:tc>
          <w:tcPr>
            <w:tcW w:w="8905" w:type="dxa"/>
          </w:tcPr>
          <w:p w14:paraId="382D731F" w14:textId="77777777" w:rsidR="00D04B85" w:rsidRDefault="00D04B85" w:rsidP="00D04B85">
            <w:r>
              <w:t>“</w:t>
            </w:r>
            <w:r w:rsidRPr="00724CBC">
              <w:rPr>
                <w:b/>
                <w:bCs/>
              </w:rPr>
              <w:t>The process for states to begin eligibility redeterminations for Medicaid will not be affected</w:t>
            </w:r>
            <w:r w:rsidRPr="004B4E10">
              <w:t xml:space="preserve">. During the COVID-19 PHE, Congress has provided critical support to state Medicaid programs by substantially increasing the federal matching dollars they receive, as long as they agreed to important conditions that protected tens of millions of Medicaid beneficiaries, including the condition to maintain Medicaid enrollment for beneficiaries until the last day of the month in which the PHE ends. However, </w:t>
            </w:r>
            <w:r w:rsidRPr="00724CBC">
              <w:rPr>
                <w:b/>
                <w:bCs/>
                <w:i/>
                <w:iCs/>
              </w:rPr>
              <w:t>as part of the Consolidated Appropriations Act, 2023 Congress agreed to end this condition on March 31, 2023, independent of the duration of the COVID-19 PHE.</w:t>
            </w:r>
            <w:r>
              <w:t>”</w:t>
            </w:r>
          </w:p>
          <w:p w14:paraId="21E3004F" w14:textId="77777777" w:rsidR="00D04B85" w:rsidRDefault="00D04B85" w:rsidP="00D04B85"/>
        </w:tc>
        <w:tc>
          <w:tcPr>
            <w:tcW w:w="4410" w:type="dxa"/>
          </w:tcPr>
          <w:p w14:paraId="6AFCBF97" w14:textId="77777777" w:rsidR="00D04B85" w:rsidRPr="00703B7E" w:rsidRDefault="00D04B85" w:rsidP="00D04B85">
            <w:pPr>
              <w:rPr>
                <w:lang w:val="fr-FR"/>
              </w:rPr>
            </w:pPr>
            <w:proofErr w:type="gramStart"/>
            <w:r w:rsidRPr="00703B7E">
              <w:rPr>
                <w:b/>
                <w:bCs/>
                <w:lang w:val="fr-FR"/>
              </w:rPr>
              <w:t>SOURCE:</w:t>
            </w:r>
            <w:proofErr w:type="gramEnd"/>
            <w:r w:rsidRPr="00703B7E">
              <w:rPr>
                <w:lang w:val="fr-FR"/>
              </w:rPr>
              <w:t xml:space="preserve"> </w:t>
            </w:r>
            <w:hyperlink r:id="rId35" w:history="1">
              <w:r w:rsidRPr="00703B7E">
                <w:rPr>
                  <w:rStyle w:val="Hyperlink"/>
                  <w:lang w:val="fr-FR"/>
                </w:rPr>
                <w:t>https://www.hhs.gov/about/news/2023/02/09/fact-sheet-covid-19-public-health-emergency-transition-roadmap.html</w:t>
              </w:r>
            </w:hyperlink>
            <w:r w:rsidRPr="00703B7E">
              <w:rPr>
                <w:lang w:val="fr-FR"/>
              </w:rPr>
              <w:t xml:space="preserve"> </w:t>
            </w:r>
          </w:p>
          <w:p w14:paraId="1C8FA4C7" w14:textId="77777777" w:rsidR="00D04B85" w:rsidRPr="00703B7E" w:rsidRDefault="00D04B85" w:rsidP="004B4E10">
            <w:pPr>
              <w:rPr>
                <w:lang w:val="fr-FR"/>
              </w:rPr>
            </w:pPr>
          </w:p>
        </w:tc>
      </w:tr>
      <w:tr w:rsidR="00A7399F" w:rsidRPr="00703B7E" w14:paraId="7746E06D" w14:textId="77777777" w:rsidTr="00BD12A9">
        <w:tc>
          <w:tcPr>
            <w:tcW w:w="8905" w:type="dxa"/>
          </w:tcPr>
          <w:p w14:paraId="2FFE086D" w14:textId="77777777" w:rsidR="00A7399F" w:rsidRDefault="00A7399F" w:rsidP="00A7399F">
            <w:r>
              <w:t xml:space="preserve">“The </w:t>
            </w:r>
            <w:r w:rsidRPr="006E5CDB">
              <w:rPr>
                <w:b/>
                <w:bCs/>
              </w:rPr>
              <w:t>expiration of the continuous enrollment condition</w:t>
            </w:r>
            <w:r>
              <w:t xml:space="preserve"> authorized by the Families First Coronavirus Response Act (FFCRA) presents the single largest health coverage transition event since the first open enrollment period of the Affordable Care Act. As a condition of receiving a temporary 6.2 percentage point Federal Medical Assistance Percentage (FMAP) increase under the FFCRA, states were required to maintain enrollment of nearly all Medicaid enrollees during the COVID-19 Public Health Emergency.</w:t>
            </w:r>
          </w:p>
          <w:p w14:paraId="3F9612A5" w14:textId="77777777" w:rsidR="00A7399F" w:rsidRDefault="00A7399F" w:rsidP="00A7399F"/>
          <w:p w14:paraId="7B5614A3" w14:textId="77777777" w:rsidR="00A7399F" w:rsidRDefault="00A7399F" w:rsidP="00A7399F">
            <w:r>
              <w:t xml:space="preserve">The Consolidated Appropriations Act, 2023, delinked the end of the FFCRA’s Medicaid continuous enrollment condition from the end of the COVID-19 Public Health Emergency. As a result, </w:t>
            </w:r>
            <w:r w:rsidRPr="006E5CDB">
              <w:rPr>
                <w:b/>
                <w:bCs/>
                <w:i/>
                <w:iCs/>
              </w:rPr>
              <w:t>the Medicaid continuous enrollment condition will end on March 31, 2023</w:t>
            </w:r>
            <w:r>
              <w:t xml:space="preserve">. States will soon resume normal operations, including restarting full Medicaid and CHIP eligibility renewals and terminations of coverage for individuals who are no longer eligible. </w:t>
            </w:r>
            <w:r w:rsidRPr="006E5CDB">
              <w:rPr>
                <w:b/>
                <w:bCs/>
                <w:i/>
                <w:iCs/>
              </w:rPr>
              <w:t>Beginning April 1, 2023, states are able to terminate Medicaid enrollment for individuals no longer eligible. States will have up to 12 months to return to normal eligibility and enrollment operations</w:t>
            </w:r>
            <w:r>
              <w:t>.”</w:t>
            </w:r>
          </w:p>
          <w:p w14:paraId="1FC31A65" w14:textId="77777777" w:rsidR="00A7399F" w:rsidRDefault="00A7399F" w:rsidP="00A7399F"/>
        </w:tc>
        <w:tc>
          <w:tcPr>
            <w:tcW w:w="4410" w:type="dxa"/>
          </w:tcPr>
          <w:p w14:paraId="3062A31B" w14:textId="77777777" w:rsidR="00A7399F" w:rsidRDefault="00A7399F" w:rsidP="00A7399F">
            <w:r w:rsidRPr="00966CE4">
              <w:rPr>
                <w:b/>
                <w:bCs/>
              </w:rPr>
              <w:t>SOURCE</w:t>
            </w:r>
            <w:r>
              <w:t xml:space="preserve">: </w:t>
            </w:r>
            <w:hyperlink r:id="rId36" w:history="1">
              <w:r w:rsidRPr="00B91DDF">
                <w:rPr>
                  <w:rStyle w:val="Hyperlink"/>
                </w:rPr>
                <w:t>https://www.medicaid.gov/resources-for-states/coronavirus-disease-2019-covid-19/unwinding-and-returning-regular-operations-after-covid-19/index.html</w:t>
              </w:r>
            </w:hyperlink>
            <w:r>
              <w:t xml:space="preserve"> </w:t>
            </w:r>
          </w:p>
          <w:p w14:paraId="1AD84E77" w14:textId="77777777" w:rsidR="00A7399F" w:rsidRPr="00703B7E" w:rsidRDefault="00A7399F" w:rsidP="00A7399F">
            <w:pPr>
              <w:rPr>
                <w:lang w:val="fr-FR"/>
              </w:rPr>
            </w:pPr>
          </w:p>
        </w:tc>
      </w:tr>
      <w:tr w:rsidR="00D04B85" w:rsidRPr="00703B7E" w14:paraId="0D2EF381" w14:textId="77777777" w:rsidTr="00BD12A9">
        <w:tc>
          <w:tcPr>
            <w:tcW w:w="8905" w:type="dxa"/>
          </w:tcPr>
          <w:p w14:paraId="0AE5C9DB" w14:textId="77777777" w:rsidR="00D04B85" w:rsidRDefault="00D04B85" w:rsidP="00D04B85">
            <w:r>
              <w:t>Anticipated 2023 State Timelines for Initiating Unwinding-Related Renewals As of February 24, 2023</w:t>
            </w:r>
          </w:p>
          <w:p w14:paraId="37868A25" w14:textId="77777777" w:rsidR="00D04B85" w:rsidRDefault="00D04B85" w:rsidP="00D04B85"/>
        </w:tc>
        <w:tc>
          <w:tcPr>
            <w:tcW w:w="4410" w:type="dxa"/>
          </w:tcPr>
          <w:p w14:paraId="5AD9D174" w14:textId="77777777" w:rsidR="00D04B85" w:rsidRPr="00703B7E" w:rsidRDefault="00D04B85" w:rsidP="00D04B85">
            <w:pPr>
              <w:rPr>
                <w:lang w:val="fr-FR"/>
              </w:rPr>
            </w:pPr>
            <w:proofErr w:type="gramStart"/>
            <w:r w:rsidRPr="00703B7E">
              <w:rPr>
                <w:b/>
                <w:bCs/>
                <w:lang w:val="fr-FR"/>
              </w:rPr>
              <w:t>SOURCE:</w:t>
            </w:r>
            <w:proofErr w:type="gramEnd"/>
            <w:r w:rsidRPr="00703B7E">
              <w:rPr>
                <w:lang w:val="fr-FR"/>
              </w:rPr>
              <w:t xml:space="preserve"> </w:t>
            </w:r>
            <w:hyperlink r:id="rId37" w:history="1">
              <w:r w:rsidRPr="00703B7E">
                <w:rPr>
                  <w:rStyle w:val="Hyperlink"/>
                  <w:lang w:val="fr-FR"/>
                </w:rPr>
                <w:t>https://www.medicaid.gov/resources-for-states/downloads/ant-2023-time-init-unwin-reltd-ren-02242023.pdf</w:t>
              </w:r>
            </w:hyperlink>
            <w:r w:rsidRPr="00703B7E">
              <w:rPr>
                <w:lang w:val="fr-FR"/>
              </w:rPr>
              <w:t xml:space="preserve"> </w:t>
            </w:r>
          </w:p>
          <w:p w14:paraId="3F6E7FF0" w14:textId="77777777" w:rsidR="00D04B85" w:rsidRPr="00703B7E" w:rsidRDefault="00D04B85" w:rsidP="004B4E10">
            <w:pPr>
              <w:rPr>
                <w:lang w:val="fr-FR"/>
              </w:rPr>
            </w:pPr>
          </w:p>
        </w:tc>
      </w:tr>
      <w:tr w:rsidR="00D04B85" w14:paraId="1E9901F0" w14:textId="77777777" w:rsidTr="00BD12A9">
        <w:tc>
          <w:tcPr>
            <w:tcW w:w="8905" w:type="dxa"/>
          </w:tcPr>
          <w:p w14:paraId="0C6B67A5" w14:textId="4F6184B2" w:rsidR="00D04B85" w:rsidRDefault="00000000" w:rsidP="00D04B85">
            <w:hyperlink r:id="rId38" w:history="1">
              <w:r w:rsidR="00D04B85" w:rsidRPr="001C7273">
                <w:rPr>
                  <w:rStyle w:val="Hyperlink"/>
                </w:rPr>
                <w:t>10 Things to Know About the Unwinding of the Medicaid Continuous Enrollment Provision</w:t>
              </w:r>
            </w:hyperlink>
            <w:r w:rsidR="00D04B85">
              <w:t xml:space="preserve"> </w:t>
            </w:r>
          </w:p>
          <w:p w14:paraId="23745EF1" w14:textId="77777777" w:rsidR="00D04B85" w:rsidRDefault="00D04B85" w:rsidP="00022AC5"/>
        </w:tc>
        <w:tc>
          <w:tcPr>
            <w:tcW w:w="4410" w:type="dxa"/>
          </w:tcPr>
          <w:p w14:paraId="426B0484" w14:textId="0A71EB6E" w:rsidR="00D04B85" w:rsidRPr="000E6264" w:rsidRDefault="00022AC5" w:rsidP="00D04B85">
            <w:pPr>
              <w:rPr>
                <w:b/>
                <w:bCs/>
              </w:rPr>
            </w:pPr>
            <w:r>
              <w:t>Kaiser Family Foundation</w:t>
            </w:r>
          </w:p>
        </w:tc>
      </w:tr>
      <w:tr w:rsidR="00022AC5" w14:paraId="10AF4208" w14:textId="77777777" w:rsidTr="00BD12A9">
        <w:tc>
          <w:tcPr>
            <w:tcW w:w="8905" w:type="dxa"/>
          </w:tcPr>
          <w:p w14:paraId="181FECCC" w14:textId="7B4915F7" w:rsidR="00022AC5" w:rsidRDefault="00000000" w:rsidP="00022AC5">
            <w:hyperlink r:id="rId39" w:history="1">
              <w:r w:rsidR="00022AC5" w:rsidRPr="002275E5">
                <w:rPr>
                  <w:rStyle w:val="Hyperlink"/>
                </w:rPr>
                <w:t>Medicaid’s Response to COVID-19</w:t>
              </w:r>
            </w:hyperlink>
          </w:p>
          <w:p w14:paraId="098E3415" w14:textId="77777777" w:rsidR="00022AC5" w:rsidRDefault="00022AC5" w:rsidP="00D04B85"/>
        </w:tc>
        <w:tc>
          <w:tcPr>
            <w:tcW w:w="4410" w:type="dxa"/>
          </w:tcPr>
          <w:p w14:paraId="2F70AD25" w14:textId="05F381AE" w:rsidR="00022AC5" w:rsidRDefault="00022AC5" w:rsidP="00D04B85">
            <w:r>
              <w:t>Medicaid and CHIP Payment and Access Commission (MACPAC)</w:t>
            </w:r>
          </w:p>
        </w:tc>
      </w:tr>
    </w:tbl>
    <w:p w14:paraId="5EE46798" w14:textId="77777777" w:rsidR="004B4E10" w:rsidRDefault="004B4E10" w:rsidP="004B4E10"/>
    <w:p w14:paraId="02BCA1B9" w14:textId="5FB35BB8" w:rsidR="000E6264" w:rsidRPr="00724CBC" w:rsidRDefault="000E6264" w:rsidP="00671504">
      <w:pPr>
        <w:rPr>
          <w:b/>
          <w:bCs/>
        </w:rPr>
      </w:pPr>
      <w:r w:rsidRPr="00724CBC">
        <w:rPr>
          <w:b/>
          <w:bCs/>
        </w:rPr>
        <w:t>See: State Medicaid Agency websites.</w:t>
      </w:r>
    </w:p>
    <w:tbl>
      <w:tblPr>
        <w:tblStyle w:val="TableGrid"/>
        <w:tblW w:w="13315" w:type="dxa"/>
        <w:tblLook w:val="04A0" w:firstRow="1" w:lastRow="0" w:firstColumn="1" w:lastColumn="0" w:noHBand="0" w:noVBand="1"/>
      </w:tblPr>
      <w:tblGrid>
        <w:gridCol w:w="2663"/>
        <w:gridCol w:w="2663"/>
        <w:gridCol w:w="2663"/>
        <w:gridCol w:w="2663"/>
        <w:gridCol w:w="2663"/>
      </w:tblGrid>
      <w:tr w:rsidR="00BF2E78" w14:paraId="1C95C73E" w14:textId="77777777" w:rsidTr="00D04B85">
        <w:tc>
          <w:tcPr>
            <w:tcW w:w="2663" w:type="dxa"/>
            <w:vAlign w:val="center"/>
          </w:tcPr>
          <w:p w14:paraId="33B8EF11" w14:textId="5A02285B" w:rsidR="00BF2E78" w:rsidRDefault="00000000" w:rsidP="00BF2E78">
            <w:hyperlink r:id="rId40" w:history="1">
              <w:r w:rsidR="00BF2E78" w:rsidRPr="00BF2E78">
                <w:rPr>
                  <w:rStyle w:val="Hyperlink"/>
                </w:rPr>
                <w:t>Alabama</w:t>
              </w:r>
            </w:hyperlink>
            <w:r w:rsidR="00BF2E78">
              <w:t xml:space="preserve"> </w:t>
            </w:r>
          </w:p>
        </w:tc>
        <w:tc>
          <w:tcPr>
            <w:tcW w:w="2663" w:type="dxa"/>
            <w:vAlign w:val="center"/>
          </w:tcPr>
          <w:p w14:paraId="58B825FB" w14:textId="56190E1C" w:rsidR="00BF2E78" w:rsidRDefault="00000000" w:rsidP="00BF2E78">
            <w:hyperlink r:id="rId41" w:history="1">
              <w:r w:rsidR="00BF2E78" w:rsidRPr="006E5949">
                <w:rPr>
                  <w:rStyle w:val="Hyperlink"/>
                </w:rPr>
                <w:t>Hawaii</w:t>
              </w:r>
            </w:hyperlink>
            <w:r w:rsidR="00BF2E78">
              <w:t xml:space="preserve"> </w:t>
            </w:r>
          </w:p>
        </w:tc>
        <w:tc>
          <w:tcPr>
            <w:tcW w:w="2663" w:type="dxa"/>
            <w:vAlign w:val="center"/>
          </w:tcPr>
          <w:p w14:paraId="2B9600FA" w14:textId="16451C31" w:rsidR="00BF2E78" w:rsidRDefault="00000000" w:rsidP="00BF2E78">
            <w:hyperlink r:id="rId42" w:history="1">
              <w:r w:rsidR="00BF2E78" w:rsidRPr="006E5949">
                <w:rPr>
                  <w:rStyle w:val="Hyperlink"/>
                </w:rPr>
                <w:t>Massachusetts</w:t>
              </w:r>
            </w:hyperlink>
            <w:r w:rsidR="00BF2E78">
              <w:t xml:space="preserve"> </w:t>
            </w:r>
          </w:p>
        </w:tc>
        <w:tc>
          <w:tcPr>
            <w:tcW w:w="2663" w:type="dxa"/>
            <w:vAlign w:val="center"/>
          </w:tcPr>
          <w:p w14:paraId="34B034C9" w14:textId="63C3EF7B" w:rsidR="00BF2E78" w:rsidRDefault="00000000" w:rsidP="00BF2E78">
            <w:hyperlink r:id="rId43" w:history="1">
              <w:r w:rsidR="00BF2E78" w:rsidRPr="006E5949">
                <w:rPr>
                  <w:rStyle w:val="Hyperlink"/>
                </w:rPr>
                <w:t>New Mexico</w:t>
              </w:r>
            </w:hyperlink>
            <w:r w:rsidR="00BF2E78">
              <w:t xml:space="preserve"> </w:t>
            </w:r>
          </w:p>
        </w:tc>
        <w:tc>
          <w:tcPr>
            <w:tcW w:w="2663" w:type="dxa"/>
            <w:vAlign w:val="center"/>
          </w:tcPr>
          <w:p w14:paraId="66E5E52C" w14:textId="6EB3923B" w:rsidR="00BF2E78" w:rsidRDefault="00000000" w:rsidP="006E5949">
            <w:hyperlink r:id="rId44" w:history="1">
              <w:r w:rsidR="00BF2E78" w:rsidRPr="006E5949">
                <w:rPr>
                  <w:rStyle w:val="Hyperlink"/>
                </w:rPr>
                <w:t>South Dakota</w:t>
              </w:r>
            </w:hyperlink>
            <w:r w:rsidR="00BF2E78">
              <w:t xml:space="preserve"> </w:t>
            </w:r>
          </w:p>
        </w:tc>
      </w:tr>
      <w:tr w:rsidR="00BF2E78" w14:paraId="6FBF29EA" w14:textId="77777777" w:rsidTr="00D04B85">
        <w:tc>
          <w:tcPr>
            <w:tcW w:w="2663" w:type="dxa"/>
            <w:vAlign w:val="center"/>
          </w:tcPr>
          <w:p w14:paraId="39094B79" w14:textId="1FD32186" w:rsidR="00BF2E78" w:rsidRDefault="00000000" w:rsidP="00BF2E78">
            <w:hyperlink r:id="rId45" w:history="1">
              <w:r w:rsidR="00BF2E78" w:rsidRPr="00BF2E78">
                <w:rPr>
                  <w:rStyle w:val="Hyperlink"/>
                </w:rPr>
                <w:t>Alaska</w:t>
              </w:r>
            </w:hyperlink>
            <w:r w:rsidR="00BF2E78">
              <w:t xml:space="preserve"> </w:t>
            </w:r>
          </w:p>
        </w:tc>
        <w:tc>
          <w:tcPr>
            <w:tcW w:w="2663" w:type="dxa"/>
            <w:vAlign w:val="center"/>
          </w:tcPr>
          <w:p w14:paraId="34A13268" w14:textId="27528385" w:rsidR="00BF2E78" w:rsidRDefault="00000000" w:rsidP="00BF2E78">
            <w:hyperlink r:id="rId46" w:history="1">
              <w:r w:rsidR="00BF2E78" w:rsidRPr="006E5949">
                <w:rPr>
                  <w:rStyle w:val="Hyperlink"/>
                </w:rPr>
                <w:t>Idaho</w:t>
              </w:r>
            </w:hyperlink>
            <w:r w:rsidR="00BF2E78">
              <w:t xml:space="preserve"> </w:t>
            </w:r>
          </w:p>
        </w:tc>
        <w:tc>
          <w:tcPr>
            <w:tcW w:w="2663" w:type="dxa"/>
            <w:vAlign w:val="center"/>
          </w:tcPr>
          <w:p w14:paraId="27178444" w14:textId="3CCD11C2" w:rsidR="00BF2E78" w:rsidRDefault="00000000" w:rsidP="00BF2E78">
            <w:hyperlink r:id="rId47" w:history="1">
              <w:r w:rsidR="00BF2E78" w:rsidRPr="006E5949">
                <w:rPr>
                  <w:rStyle w:val="Hyperlink"/>
                </w:rPr>
                <w:t>Michigan</w:t>
              </w:r>
            </w:hyperlink>
            <w:r w:rsidR="00BF2E78">
              <w:t xml:space="preserve"> </w:t>
            </w:r>
          </w:p>
        </w:tc>
        <w:tc>
          <w:tcPr>
            <w:tcW w:w="2663" w:type="dxa"/>
            <w:vAlign w:val="center"/>
          </w:tcPr>
          <w:p w14:paraId="4C39FF4A" w14:textId="6AFA348B" w:rsidR="00BF2E78" w:rsidRDefault="00000000" w:rsidP="00BF2E78">
            <w:hyperlink r:id="rId48" w:history="1">
              <w:r w:rsidR="00BF2E78" w:rsidRPr="006E5949">
                <w:rPr>
                  <w:rStyle w:val="Hyperlink"/>
                </w:rPr>
                <w:t>New York</w:t>
              </w:r>
            </w:hyperlink>
            <w:r w:rsidR="00BF2E78">
              <w:t xml:space="preserve"> </w:t>
            </w:r>
          </w:p>
        </w:tc>
        <w:tc>
          <w:tcPr>
            <w:tcW w:w="2663" w:type="dxa"/>
            <w:vAlign w:val="center"/>
          </w:tcPr>
          <w:p w14:paraId="6803AADF" w14:textId="5FB87737" w:rsidR="00BF2E78" w:rsidRDefault="00000000" w:rsidP="00BF2E78">
            <w:hyperlink r:id="rId49" w:history="1">
              <w:r w:rsidR="00BF2E78" w:rsidRPr="006E5949">
                <w:rPr>
                  <w:rStyle w:val="Hyperlink"/>
                </w:rPr>
                <w:t>Tennessee</w:t>
              </w:r>
            </w:hyperlink>
            <w:r w:rsidR="00BF2E78">
              <w:t xml:space="preserve"> </w:t>
            </w:r>
          </w:p>
        </w:tc>
      </w:tr>
      <w:tr w:rsidR="00BF2E78" w14:paraId="217ECA90" w14:textId="77777777" w:rsidTr="00D04B85">
        <w:tc>
          <w:tcPr>
            <w:tcW w:w="2663" w:type="dxa"/>
            <w:vAlign w:val="center"/>
          </w:tcPr>
          <w:p w14:paraId="13B7EE58" w14:textId="01B9CBD4" w:rsidR="00BF2E78" w:rsidRDefault="00000000" w:rsidP="00BF2E78">
            <w:hyperlink r:id="rId50" w:history="1">
              <w:r w:rsidR="00BF2E78" w:rsidRPr="00BF2E78">
                <w:rPr>
                  <w:rStyle w:val="Hyperlink"/>
                </w:rPr>
                <w:t>Arizona</w:t>
              </w:r>
            </w:hyperlink>
            <w:r w:rsidR="00BF2E78">
              <w:t xml:space="preserve"> </w:t>
            </w:r>
          </w:p>
        </w:tc>
        <w:tc>
          <w:tcPr>
            <w:tcW w:w="2663" w:type="dxa"/>
            <w:vAlign w:val="center"/>
          </w:tcPr>
          <w:p w14:paraId="123F7505" w14:textId="641A04E9" w:rsidR="00BF2E78" w:rsidRDefault="00000000" w:rsidP="00BF2E78">
            <w:hyperlink r:id="rId51" w:history="1">
              <w:r w:rsidR="00BF2E78" w:rsidRPr="006E5949">
                <w:rPr>
                  <w:rStyle w:val="Hyperlink"/>
                </w:rPr>
                <w:t>Illinois</w:t>
              </w:r>
            </w:hyperlink>
          </w:p>
        </w:tc>
        <w:tc>
          <w:tcPr>
            <w:tcW w:w="2663" w:type="dxa"/>
            <w:vAlign w:val="center"/>
          </w:tcPr>
          <w:p w14:paraId="27790C7F" w14:textId="36173302" w:rsidR="00BF2E78" w:rsidRDefault="00000000" w:rsidP="00BF2E78">
            <w:hyperlink r:id="rId52" w:history="1">
              <w:r w:rsidR="00BF2E78" w:rsidRPr="006E5949">
                <w:rPr>
                  <w:rStyle w:val="Hyperlink"/>
                </w:rPr>
                <w:t>Minnesota</w:t>
              </w:r>
            </w:hyperlink>
            <w:r w:rsidR="00BF2E78">
              <w:t xml:space="preserve"> </w:t>
            </w:r>
          </w:p>
        </w:tc>
        <w:tc>
          <w:tcPr>
            <w:tcW w:w="2663" w:type="dxa"/>
            <w:vAlign w:val="center"/>
          </w:tcPr>
          <w:p w14:paraId="69E12925" w14:textId="4FC2DFF8" w:rsidR="00BF2E78" w:rsidRDefault="00000000" w:rsidP="00BF2E78">
            <w:hyperlink r:id="rId53" w:history="1">
              <w:r w:rsidR="00BF2E78" w:rsidRPr="006E5949">
                <w:rPr>
                  <w:rStyle w:val="Hyperlink"/>
                </w:rPr>
                <w:t>North Carolina</w:t>
              </w:r>
            </w:hyperlink>
            <w:r w:rsidR="00BF2E78">
              <w:t xml:space="preserve"> </w:t>
            </w:r>
          </w:p>
        </w:tc>
        <w:tc>
          <w:tcPr>
            <w:tcW w:w="2663" w:type="dxa"/>
            <w:vAlign w:val="center"/>
          </w:tcPr>
          <w:p w14:paraId="7DF45571" w14:textId="4670907D" w:rsidR="00BF2E78" w:rsidRDefault="00000000" w:rsidP="00BF2E78">
            <w:hyperlink r:id="rId54" w:history="1">
              <w:r w:rsidR="00BF2E78" w:rsidRPr="006E5949">
                <w:rPr>
                  <w:rStyle w:val="Hyperlink"/>
                </w:rPr>
                <w:t>Texas</w:t>
              </w:r>
            </w:hyperlink>
            <w:r w:rsidR="00BF2E78">
              <w:t xml:space="preserve"> </w:t>
            </w:r>
          </w:p>
        </w:tc>
      </w:tr>
      <w:tr w:rsidR="00BF2E78" w14:paraId="366C65C3" w14:textId="77777777" w:rsidTr="00D04B85">
        <w:tc>
          <w:tcPr>
            <w:tcW w:w="2663" w:type="dxa"/>
            <w:vAlign w:val="center"/>
          </w:tcPr>
          <w:p w14:paraId="182DA931" w14:textId="4FCD35B1" w:rsidR="00BF2E78" w:rsidRDefault="00000000" w:rsidP="00BF2E78">
            <w:hyperlink r:id="rId55" w:history="1">
              <w:r w:rsidR="00BF2E78" w:rsidRPr="00BF2E78">
                <w:rPr>
                  <w:rStyle w:val="Hyperlink"/>
                </w:rPr>
                <w:t>Arkansas</w:t>
              </w:r>
            </w:hyperlink>
            <w:r w:rsidR="00BF2E78">
              <w:t xml:space="preserve"> </w:t>
            </w:r>
          </w:p>
        </w:tc>
        <w:tc>
          <w:tcPr>
            <w:tcW w:w="2663" w:type="dxa"/>
            <w:vAlign w:val="center"/>
          </w:tcPr>
          <w:p w14:paraId="2AC07D17" w14:textId="3E74897B" w:rsidR="00BF2E78" w:rsidRDefault="00000000" w:rsidP="00BF2E78">
            <w:hyperlink r:id="rId56" w:history="1">
              <w:r w:rsidR="00BF2E78" w:rsidRPr="006E5949">
                <w:rPr>
                  <w:rStyle w:val="Hyperlink"/>
                </w:rPr>
                <w:t>Indiana</w:t>
              </w:r>
            </w:hyperlink>
            <w:r w:rsidR="00BF2E78">
              <w:t xml:space="preserve"> </w:t>
            </w:r>
          </w:p>
        </w:tc>
        <w:tc>
          <w:tcPr>
            <w:tcW w:w="2663" w:type="dxa"/>
            <w:vAlign w:val="center"/>
          </w:tcPr>
          <w:p w14:paraId="358BAF5A" w14:textId="041C83A2" w:rsidR="00BF2E78" w:rsidRDefault="00000000" w:rsidP="00BF2E78">
            <w:hyperlink r:id="rId57" w:history="1">
              <w:r w:rsidR="00BF2E78" w:rsidRPr="006E5949">
                <w:rPr>
                  <w:rStyle w:val="Hyperlink"/>
                </w:rPr>
                <w:t>Mississippi</w:t>
              </w:r>
            </w:hyperlink>
            <w:r w:rsidR="00BF2E78">
              <w:t xml:space="preserve"> </w:t>
            </w:r>
          </w:p>
        </w:tc>
        <w:tc>
          <w:tcPr>
            <w:tcW w:w="2663" w:type="dxa"/>
            <w:vAlign w:val="center"/>
          </w:tcPr>
          <w:p w14:paraId="4AD2DAEC" w14:textId="60024616" w:rsidR="00BF2E78" w:rsidRDefault="00000000" w:rsidP="00BF2E78">
            <w:hyperlink r:id="rId58" w:history="1">
              <w:r w:rsidR="00BF2E78" w:rsidRPr="006E5949">
                <w:rPr>
                  <w:rStyle w:val="Hyperlink"/>
                </w:rPr>
                <w:t>North Dakota</w:t>
              </w:r>
            </w:hyperlink>
            <w:r w:rsidR="00BF2E78">
              <w:t xml:space="preserve"> </w:t>
            </w:r>
          </w:p>
        </w:tc>
        <w:tc>
          <w:tcPr>
            <w:tcW w:w="2663" w:type="dxa"/>
            <w:vAlign w:val="center"/>
          </w:tcPr>
          <w:p w14:paraId="162577AA" w14:textId="04679CE1" w:rsidR="00BF2E78" w:rsidRDefault="00000000" w:rsidP="00BF2E78">
            <w:hyperlink r:id="rId59" w:history="1">
              <w:r w:rsidR="00BF2E78" w:rsidRPr="006E5949">
                <w:rPr>
                  <w:rStyle w:val="Hyperlink"/>
                </w:rPr>
                <w:t>Utah</w:t>
              </w:r>
            </w:hyperlink>
            <w:r w:rsidR="00BF2E78">
              <w:t xml:space="preserve"> </w:t>
            </w:r>
          </w:p>
        </w:tc>
      </w:tr>
      <w:tr w:rsidR="00BF2E78" w14:paraId="2A993102" w14:textId="77777777" w:rsidTr="00D04B85">
        <w:tc>
          <w:tcPr>
            <w:tcW w:w="2663" w:type="dxa"/>
            <w:vAlign w:val="center"/>
          </w:tcPr>
          <w:p w14:paraId="7788BBBC" w14:textId="09A11BA2" w:rsidR="00BF2E78" w:rsidRDefault="00000000" w:rsidP="00BF2E78">
            <w:hyperlink r:id="rId60" w:history="1">
              <w:r w:rsidR="00BF2E78" w:rsidRPr="00BF2E78">
                <w:rPr>
                  <w:rStyle w:val="Hyperlink"/>
                </w:rPr>
                <w:t>California</w:t>
              </w:r>
            </w:hyperlink>
          </w:p>
        </w:tc>
        <w:tc>
          <w:tcPr>
            <w:tcW w:w="2663" w:type="dxa"/>
            <w:vAlign w:val="center"/>
          </w:tcPr>
          <w:p w14:paraId="53970997" w14:textId="7A224C15" w:rsidR="00BF2E78" w:rsidRDefault="00000000" w:rsidP="00BF2E78">
            <w:hyperlink r:id="rId61" w:history="1">
              <w:r w:rsidR="00BF2E78" w:rsidRPr="006E5949">
                <w:rPr>
                  <w:rStyle w:val="Hyperlink"/>
                </w:rPr>
                <w:t>Iowa</w:t>
              </w:r>
            </w:hyperlink>
            <w:r w:rsidR="00BF2E78">
              <w:t xml:space="preserve"> </w:t>
            </w:r>
          </w:p>
        </w:tc>
        <w:tc>
          <w:tcPr>
            <w:tcW w:w="2663" w:type="dxa"/>
            <w:vAlign w:val="center"/>
          </w:tcPr>
          <w:p w14:paraId="6457CE14" w14:textId="0A213899" w:rsidR="00BF2E78" w:rsidRDefault="00000000" w:rsidP="00BF2E78">
            <w:hyperlink r:id="rId62" w:history="1">
              <w:r w:rsidR="00BF2E78" w:rsidRPr="006E5949">
                <w:rPr>
                  <w:rStyle w:val="Hyperlink"/>
                </w:rPr>
                <w:t>Missouri</w:t>
              </w:r>
            </w:hyperlink>
            <w:r w:rsidR="00BF2E78">
              <w:t xml:space="preserve"> </w:t>
            </w:r>
          </w:p>
        </w:tc>
        <w:tc>
          <w:tcPr>
            <w:tcW w:w="2663" w:type="dxa"/>
            <w:vAlign w:val="center"/>
          </w:tcPr>
          <w:p w14:paraId="1789C882" w14:textId="45AC9DF8" w:rsidR="00BF2E78" w:rsidRDefault="00000000" w:rsidP="00BF2E78">
            <w:hyperlink r:id="rId63" w:history="1">
              <w:r w:rsidR="00BF2E78" w:rsidRPr="006E5949">
                <w:rPr>
                  <w:rStyle w:val="Hyperlink"/>
                </w:rPr>
                <w:t>Ohio</w:t>
              </w:r>
            </w:hyperlink>
            <w:r w:rsidR="00BF2E78">
              <w:t xml:space="preserve"> </w:t>
            </w:r>
          </w:p>
        </w:tc>
        <w:tc>
          <w:tcPr>
            <w:tcW w:w="2663" w:type="dxa"/>
            <w:vAlign w:val="center"/>
          </w:tcPr>
          <w:p w14:paraId="1BDDE4A4" w14:textId="5315248E" w:rsidR="00BF2E78" w:rsidRDefault="00000000" w:rsidP="00BF2E78">
            <w:hyperlink r:id="rId64" w:history="1">
              <w:r w:rsidR="00BF2E78" w:rsidRPr="006E5949">
                <w:rPr>
                  <w:rStyle w:val="Hyperlink"/>
                </w:rPr>
                <w:t>Vermont</w:t>
              </w:r>
            </w:hyperlink>
            <w:r w:rsidR="00BF2E78">
              <w:t xml:space="preserve"> </w:t>
            </w:r>
          </w:p>
        </w:tc>
      </w:tr>
      <w:tr w:rsidR="00BF2E78" w14:paraId="3E0E7AC3" w14:textId="77777777" w:rsidTr="00D04B85">
        <w:tc>
          <w:tcPr>
            <w:tcW w:w="2663" w:type="dxa"/>
            <w:vAlign w:val="center"/>
          </w:tcPr>
          <w:p w14:paraId="51F9F3DD" w14:textId="0E91B18E" w:rsidR="00BF2E78" w:rsidRDefault="00000000" w:rsidP="00BF2E78">
            <w:hyperlink r:id="rId65" w:history="1">
              <w:r w:rsidR="00BF2E78" w:rsidRPr="00BF2E78">
                <w:rPr>
                  <w:rStyle w:val="Hyperlink"/>
                </w:rPr>
                <w:t>Colorado</w:t>
              </w:r>
            </w:hyperlink>
            <w:r w:rsidR="00BF2E78">
              <w:t xml:space="preserve"> </w:t>
            </w:r>
          </w:p>
        </w:tc>
        <w:tc>
          <w:tcPr>
            <w:tcW w:w="2663" w:type="dxa"/>
            <w:vAlign w:val="center"/>
          </w:tcPr>
          <w:p w14:paraId="7D0D52D4" w14:textId="5F26317C" w:rsidR="00BF2E78" w:rsidRDefault="00000000" w:rsidP="00BF2E78">
            <w:hyperlink r:id="rId66" w:history="1">
              <w:r w:rsidR="00BF2E78" w:rsidRPr="006E5949">
                <w:rPr>
                  <w:rStyle w:val="Hyperlink"/>
                </w:rPr>
                <w:t>Kansas</w:t>
              </w:r>
            </w:hyperlink>
          </w:p>
        </w:tc>
        <w:tc>
          <w:tcPr>
            <w:tcW w:w="2663" w:type="dxa"/>
            <w:vAlign w:val="center"/>
          </w:tcPr>
          <w:p w14:paraId="032F7E4A" w14:textId="2FB208F3" w:rsidR="00BF2E78" w:rsidRDefault="00000000" w:rsidP="00BF2E78">
            <w:hyperlink r:id="rId67" w:history="1">
              <w:r w:rsidR="00BF2E78" w:rsidRPr="006E5949">
                <w:rPr>
                  <w:rStyle w:val="Hyperlink"/>
                </w:rPr>
                <w:t>Montana</w:t>
              </w:r>
            </w:hyperlink>
          </w:p>
        </w:tc>
        <w:tc>
          <w:tcPr>
            <w:tcW w:w="2663" w:type="dxa"/>
            <w:vAlign w:val="center"/>
          </w:tcPr>
          <w:p w14:paraId="500C8651" w14:textId="2673DFF2" w:rsidR="00BF2E78" w:rsidRDefault="00000000" w:rsidP="00BF2E78">
            <w:hyperlink r:id="rId68" w:history="1">
              <w:r w:rsidR="00BF2E78" w:rsidRPr="006E5949">
                <w:rPr>
                  <w:rStyle w:val="Hyperlink"/>
                </w:rPr>
                <w:t>Oklahoma</w:t>
              </w:r>
            </w:hyperlink>
          </w:p>
        </w:tc>
        <w:tc>
          <w:tcPr>
            <w:tcW w:w="2663" w:type="dxa"/>
            <w:vAlign w:val="center"/>
          </w:tcPr>
          <w:p w14:paraId="0B89BC6E" w14:textId="3129D11F" w:rsidR="00BF2E78" w:rsidRDefault="00000000" w:rsidP="00BF2E78">
            <w:hyperlink r:id="rId69" w:history="1">
              <w:r w:rsidR="00BF2E78" w:rsidRPr="006E5949">
                <w:rPr>
                  <w:rStyle w:val="Hyperlink"/>
                </w:rPr>
                <w:t>Virginia</w:t>
              </w:r>
            </w:hyperlink>
            <w:r w:rsidR="00BF2E78">
              <w:t xml:space="preserve"> </w:t>
            </w:r>
          </w:p>
        </w:tc>
      </w:tr>
      <w:tr w:rsidR="00BF2E78" w14:paraId="0CFD54CC" w14:textId="77777777" w:rsidTr="00D04B85">
        <w:tc>
          <w:tcPr>
            <w:tcW w:w="2663" w:type="dxa"/>
            <w:vAlign w:val="center"/>
          </w:tcPr>
          <w:p w14:paraId="4C886A86" w14:textId="06554E6F" w:rsidR="00BF2E78" w:rsidRDefault="00000000" w:rsidP="00BF2E78">
            <w:hyperlink r:id="rId70" w:history="1">
              <w:r w:rsidR="00BF2E78" w:rsidRPr="00BF2E78">
                <w:rPr>
                  <w:rStyle w:val="Hyperlink"/>
                </w:rPr>
                <w:t>Connecticut</w:t>
              </w:r>
            </w:hyperlink>
            <w:r w:rsidR="00BF2E78">
              <w:t xml:space="preserve"> </w:t>
            </w:r>
          </w:p>
        </w:tc>
        <w:tc>
          <w:tcPr>
            <w:tcW w:w="2663" w:type="dxa"/>
            <w:vAlign w:val="center"/>
          </w:tcPr>
          <w:p w14:paraId="286B6ECC" w14:textId="2BBDFAF3" w:rsidR="00BF2E78" w:rsidRDefault="00000000" w:rsidP="00BF2E78">
            <w:hyperlink r:id="rId71" w:history="1">
              <w:r w:rsidR="00BF2E78" w:rsidRPr="006E5949">
                <w:rPr>
                  <w:rStyle w:val="Hyperlink"/>
                </w:rPr>
                <w:t>Kentucky</w:t>
              </w:r>
            </w:hyperlink>
            <w:r w:rsidR="00BF2E78">
              <w:t xml:space="preserve"> </w:t>
            </w:r>
          </w:p>
        </w:tc>
        <w:tc>
          <w:tcPr>
            <w:tcW w:w="2663" w:type="dxa"/>
            <w:vAlign w:val="center"/>
          </w:tcPr>
          <w:p w14:paraId="3C8652F7" w14:textId="00F09055" w:rsidR="00BF2E78" w:rsidRDefault="00000000" w:rsidP="00BF2E78">
            <w:hyperlink r:id="rId72" w:history="1">
              <w:r w:rsidR="00BF2E78" w:rsidRPr="006E5949">
                <w:rPr>
                  <w:rStyle w:val="Hyperlink"/>
                </w:rPr>
                <w:t>Nebraska</w:t>
              </w:r>
            </w:hyperlink>
            <w:r w:rsidR="00BF2E78">
              <w:t xml:space="preserve"> </w:t>
            </w:r>
          </w:p>
        </w:tc>
        <w:tc>
          <w:tcPr>
            <w:tcW w:w="2663" w:type="dxa"/>
            <w:vAlign w:val="center"/>
          </w:tcPr>
          <w:p w14:paraId="082992D1" w14:textId="1632341A" w:rsidR="00BF2E78" w:rsidRDefault="00000000" w:rsidP="00BF2E78">
            <w:hyperlink r:id="rId73" w:history="1">
              <w:r w:rsidR="00BF2E78" w:rsidRPr="006E5949">
                <w:rPr>
                  <w:rStyle w:val="Hyperlink"/>
                </w:rPr>
                <w:t>Oregon</w:t>
              </w:r>
            </w:hyperlink>
          </w:p>
        </w:tc>
        <w:tc>
          <w:tcPr>
            <w:tcW w:w="2663" w:type="dxa"/>
            <w:vAlign w:val="center"/>
          </w:tcPr>
          <w:p w14:paraId="3DF22189" w14:textId="2A9F02C1" w:rsidR="00BF2E78" w:rsidRDefault="00000000" w:rsidP="00BF2E78">
            <w:hyperlink r:id="rId74" w:history="1">
              <w:r w:rsidR="00BF2E78" w:rsidRPr="006E5949">
                <w:rPr>
                  <w:rStyle w:val="Hyperlink"/>
                </w:rPr>
                <w:t>Washington</w:t>
              </w:r>
            </w:hyperlink>
            <w:r w:rsidR="00BF2E78">
              <w:t xml:space="preserve"> </w:t>
            </w:r>
          </w:p>
        </w:tc>
      </w:tr>
      <w:tr w:rsidR="00BF2E78" w14:paraId="4F7651A7" w14:textId="77777777" w:rsidTr="00D04B85">
        <w:tc>
          <w:tcPr>
            <w:tcW w:w="2663" w:type="dxa"/>
            <w:vAlign w:val="center"/>
          </w:tcPr>
          <w:p w14:paraId="6DAAC948" w14:textId="0FE9CD5C" w:rsidR="00BF2E78" w:rsidRDefault="00000000" w:rsidP="00BF2E78">
            <w:hyperlink r:id="rId75" w:history="1">
              <w:r w:rsidR="00BF2E78" w:rsidRPr="00BF2E78">
                <w:rPr>
                  <w:rStyle w:val="Hyperlink"/>
                </w:rPr>
                <w:t>Delaware</w:t>
              </w:r>
            </w:hyperlink>
          </w:p>
        </w:tc>
        <w:tc>
          <w:tcPr>
            <w:tcW w:w="2663" w:type="dxa"/>
            <w:vAlign w:val="center"/>
          </w:tcPr>
          <w:p w14:paraId="4BF8D1AE" w14:textId="4CD077BD" w:rsidR="00BF2E78" w:rsidRDefault="00000000" w:rsidP="00BF2E78">
            <w:hyperlink r:id="rId76" w:history="1">
              <w:r w:rsidR="00BF2E78" w:rsidRPr="006E5949">
                <w:rPr>
                  <w:rStyle w:val="Hyperlink"/>
                </w:rPr>
                <w:t>Louisiana</w:t>
              </w:r>
            </w:hyperlink>
            <w:r w:rsidR="00BF2E78">
              <w:t xml:space="preserve"> </w:t>
            </w:r>
          </w:p>
        </w:tc>
        <w:tc>
          <w:tcPr>
            <w:tcW w:w="2663" w:type="dxa"/>
            <w:vAlign w:val="center"/>
          </w:tcPr>
          <w:p w14:paraId="2390EA3D" w14:textId="63CE5315" w:rsidR="00BF2E78" w:rsidRDefault="00000000" w:rsidP="00BF2E78">
            <w:hyperlink r:id="rId77" w:history="1">
              <w:r w:rsidR="00BF2E78" w:rsidRPr="006E5949">
                <w:rPr>
                  <w:rStyle w:val="Hyperlink"/>
                </w:rPr>
                <w:t>Nevada</w:t>
              </w:r>
            </w:hyperlink>
            <w:r w:rsidR="00BF2E78">
              <w:t xml:space="preserve"> </w:t>
            </w:r>
          </w:p>
        </w:tc>
        <w:tc>
          <w:tcPr>
            <w:tcW w:w="2663" w:type="dxa"/>
            <w:vAlign w:val="center"/>
          </w:tcPr>
          <w:p w14:paraId="0976DA77" w14:textId="5A128482" w:rsidR="00BF2E78" w:rsidRDefault="00000000" w:rsidP="00BF2E78">
            <w:hyperlink r:id="rId78" w:history="1">
              <w:r w:rsidR="00BF2E78" w:rsidRPr="006E5949">
                <w:rPr>
                  <w:rStyle w:val="Hyperlink"/>
                </w:rPr>
                <w:t>Pennsylvania</w:t>
              </w:r>
            </w:hyperlink>
          </w:p>
        </w:tc>
        <w:tc>
          <w:tcPr>
            <w:tcW w:w="2663" w:type="dxa"/>
            <w:vAlign w:val="center"/>
          </w:tcPr>
          <w:p w14:paraId="2FA7B277" w14:textId="730FE60B" w:rsidR="00BF2E78" w:rsidRDefault="00000000" w:rsidP="00BF2E78">
            <w:hyperlink r:id="rId79" w:history="1">
              <w:r w:rsidR="00BF2E78" w:rsidRPr="006E5949">
                <w:rPr>
                  <w:rStyle w:val="Hyperlink"/>
                </w:rPr>
                <w:t>West Virginia</w:t>
              </w:r>
            </w:hyperlink>
            <w:r w:rsidR="00BF2E78">
              <w:t xml:space="preserve"> </w:t>
            </w:r>
          </w:p>
        </w:tc>
      </w:tr>
      <w:tr w:rsidR="00BF2E78" w14:paraId="1CBA4527" w14:textId="77777777" w:rsidTr="00D04B85">
        <w:tc>
          <w:tcPr>
            <w:tcW w:w="2663" w:type="dxa"/>
            <w:vAlign w:val="center"/>
          </w:tcPr>
          <w:p w14:paraId="1C140BB7" w14:textId="1E6925E9" w:rsidR="00BF2E78" w:rsidRDefault="00000000" w:rsidP="00BF2E78">
            <w:hyperlink r:id="rId80" w:history="1">
              <w:r w:rsidR="00BF2E78" w:rsidRPr="00BF2E78">
                <w:rPr>
                  <w:rStyle w:val="Hyperlink"/>
                </w:rPr>
                <w:t>Florida</w:t>
              </w:r>
            </w:hyperlink>
          </w:p>
        </w:tc>
        <w:tc>
          <w:tcPr>
            <w:tcW w:w="2663" w:type="dxa"/>
            <w:vAlign w:val="center"/>
          </w:tcPr>
          <w:p w14:paraId="48122AA5" w14:textId="241A50C5" w:rsidR="00BF2E78" w:rsidRDefault="00000000" w:rsidP="00BF2E78">
            <w:hyperlink r:id="rId81" w:history="1">
              <w:r w:rsidR="00BF2E78" w:rsidRPr="006E5949">
                <w:rPr>
                  <w:rStyle w:val="Hyperlink"/>
                </w:rPr>
                <w:t>Maine</w:t>
              </w:r>
            </w:hyperlink>
            <w:r w:rsidR="00BF2E78">
              <w:t xml:space="preserve"> </w:t>
            </w:r>
          </w:p>
        </w:tc>
        <w:tc>
          <w:tcPr>
            <w:tcW w:w="2663" w:type="dxa"/>
            <w:vAlign w:val="center"/>
          </w:tcPr>
          <w:p w14:paraId="7BFADA7F" w14:textId="3CEFDF5C" w:rsidR="00BF2E78" w:rsidRDefault="00000000" w:rsidP="00BF2E78">
            <w:hyperlink r:id="rId82" w:history="1">
              <w:r w:rsidR="00BF2E78" w:rsidRPr="006E5949">
                <w:rPr>
                  <w:rStyle w:val="Hyperlink"/>
                </w:rPr>
                <w:t>New Hampshire</w:t>
              </w:r>
            </w:hyperlink>
            <w:r w:rsidR="00BF2E78">
              <w:t xml:space="preserve"> </w:t>
            </w:r>
          </w:p>
        </w:tc>
        <w:tc>
          <w:tcPr>
            <w:tcW w:w="2663" w:type="dxa"/>
            <w:vAlign w:val="center"/>
          </w:tcPr>
          <w:p w14:paraId="619D432E" w14:textId="0DCBF1E8" w:rsidR="00BF2E78" w:rsidRDefault="00000000" w:rsidP="00BF2E78">
            <w:hyperlink r:id="rId83" w:history="1">
              <w:r w:rsidR="00BF2E78" w:rsidRPr="006E5949">
                <w:rPr>
                  <w:rStyle w:val="Hyperlink"/>
                </w:rPr>
                <w:t>Rhode Island</w:t>
              </w:r>
            </w:hyperlink>
            <w:r w:rsidR="00BF2E78">
              <w:t xml:space="preserve"> </w:t>
            </w:r>
          </w:p>
        </w:tc>
        <w:tc>
          <w:tcPr>
            <w:tcW w:w="2663" w:type="dxa"/>
            <w:vAlign w:val="center"/>
          </w:tcPr>
          <w:p w14:paraId="69271E17" w14:textId="01537B90" w:rsidR="00BF2E78" w:rsidRDefault="00000000" w:rsidP="00BF2E78">
            <w:hyperlink r:id="rId84" w:history="1">
              <w:r w:rsidR="00BF2E78" w:rsidRPr="006E5949">
                <w:rPr>
                  <w:rStyle w:val="Hyperlink"/>
                </w:rPr>
                <w:t>Wisconsin</w:t>
              </w:r>
            </w:hyperlink>
            <w:r w:rsidR="00BF2E78">
              <w:t xml:space="preserve"> </w:t>
            </w:r>
          </w:p>
        </w:tc>
      </w:tr>
      <w:tr w:rsidR="00BF2E78" w14:paraId="52467635" w14:textId="77777777" w:rsidTr="00D04B85">
        <w:tc>
          <w:tcPr>
            <w:tcW w:w="2663" w:type="dxa"/>
            <w:vAlign w:val="center"/>
          </w:tcPr>
          <w:p w14:paraId="30FBB91E" w14:textId="415D2043" w:rsidR="00BF2E78" w:rsidRDefault="00000000" w:rsidP="00BF2E78">
            <w:hyperlink r:id="rId85" w:history="1">
              <w:r w:rsidR="00BF2E78" w:rsidRPr="00BF2E78">
                <w:rPr>
                  <w:rStyle w:val="Hyperlink"/>
                </w:rPr>
                <w:t>Georgia</w:t>
              </w:r>
            </w:hyperlink>
            <w:r w:rsidR="00BF2E78">
              <w:t xml:space="preserve"> </w:t>
            </w:r>
          </w:p>
        </w:tc>
        <w:tc>
          <w:tcPr>
            <w:tcW w:w="2663" w:type="dxa"/>
            <w:vAlign w:val="center"/>
          </w:tcPr>
          <w:p w14:paraId="43F98678" w14:textId="4F15A39F" w:rsidR="00BF2E78" w:rsidRDefault="00000000" w:rsidP="00BF2E78">
            <w:hyperlink r:id="rId86" w:history="1">
              <w:r w:rsidR="00BF2E78" w:rsidRPr="006E5949">
                <w:rPr>
                  <w:rStyle w:val="Hyperlink"/>
                </w:rPr>
                <w:t>Maryland</w:t>
              </w:r>
            </w:hyperlink>
            <w:r w:rsidR="00BF2E78">
              <w:t xml:space="preserve"> </w:t>
            </w:r>
          </w:p>
        </w:tc>
        <w:tc>
          <w:tcPr>
            <w:tcW w:w="2663" w:type="dxa"/>
            <w:vAlign w:val="center"/>
          </w:tcPr>
          <w:p w14:paraId="56A889E0" w14:textId="5028310F" w:rsidR="00BF2E78" w:rsidRDefault="00000000" w:rsidP="00BF2E78">
            <w:hyperlink r:id="rId87" w:history="1">
              <w:r w:rsidR="00BF2E78" w:rsidRPr="006E5949">
                <w:rPr>
                  <w:rStyle w:val="Hyperlink"/>
                </w:rPr>
                <w:t>New Jersey</w:t>
              </w:r>
            </w:hyperlink>
            <w:r w:rsidR="00BF2E78">
              <w:t xml:space="preserve"> </w:t>
            </w:r>
          </w:p>
        </w:tc>
        <w:tc>
          <w:tcPr>
            <w:tcW w:w="2663" w:type="dxa"/>
            <w:vAlign w:val="center"/>
          </w:tcPr>
          <w:p w14:paraId="1ABE3FE0" w14:textId="0EF21B06" w:rsidR="00BF2E78" w:rsidRDefault="00000000" w:rsidP="00BF2E78">
            <w:hyperlink r:id="rId88" w:history="1">
              <w:r w:rsidR="00BF2E78" w:rsidRPr="006E5949">
                <w:rPr>
                  <w:rStyle w:val="Hyperlink"/>
                </w:rPr>
                <w:t>South Carolina</w:t>
              </w:r>
            </w:hyperlink>
            <w:r w:rsidR="00BF2E78">
              <w:t xml:space="preserve"> </w:t>
            </w:r>
          </w:p>
        </w:tc>
        <w:tc>
          <w:tcPr>
            <w:tcW w:w="2663" w:type="dxa"/>
            <w:vAlign w:val="center"/>
          </w:tcPr>
          <w:p w14:paraId="0FA544A0" w14:textId="6A1B2402" w:rsidR="00BF2E78" w:rsidRDefault="00000000" w:rsidP="00BF2E78">
            <w:hyperlink r:id="rId89" w:history="1">
              <w:r w:rsidR="00BF2E78" w:rsidRPr="006E5949">
                <w:rPr>
                  <w:rStyle w:val="Hyperlink"/>
                </w:rPr>
                <w:t>Wyoming</w:t>
              </w:r>
            </w:hyperlink>
          </w:p>
        </w:tc>
      </w:tr>
    </w:tbl>
    <w:p w14:paraId="1AA378D1" w14:textId="77777777" w:rsidR="00BF2E78" w:rsidRDefault="00BF2E78" w:rsidP="00BF2E78"/>
    <w:p w14:paraId="72CC3D0B" w14:textId="526A4888" w:rsidR="00BF2E78" w:rsidRPr="00724CBC" w:rsidRDefault="00BF2E78" w:rsidP="00BF2E78">
      <w:pPr>
        <w:rPr>
          <w:b/>
          <w:bCs/>
        </w:rPr>
      </w:pPr>
      <w:r w:rsidRPr="00724CBC">
        <w:rPr>
          <w:b/>
          <w:bCs/>
        </w:rPr>
        <w:t>See: Territor</w:t>
      </w:r>
      <w:r w:rsidR="006E5949" w:rsidRPr="00724CBC">
        <w:rPr>
          <w:b/>
          <w:bCs/>
        </w:rPr>
        <w:t>y Medicaid Agency websites</w:t>
      </w:r>
    </w:p>
    <w:tbl>
      <w:tblPr>
        <w:tblStyle w:val="TableGrid"/>
        <w:tblW w:w="13315" w:type="dxa"/>
        <w:tblLook w:val="04A0" w:firstRow="1" w:lastRow="0" w:firstColumn="1" w:lastColumn="0" w:noHBand="0" w:noVBand="1"/>
      </w:tblPr>
      <w:tblGrid>
        <w:gridCol w:w="2219"/>
        <w:gridCol w:w="2219"/>
        <w:gridCol w:w="2219"/>
        <w:gridCol w:w="2219"/>
        <w:gridCol w:w="2219"/>
        <w:gridCol w:w="2220"/>
      </w:tblGrid>
      <w:tr w:rsidR="00BF2E78" w14:paraId="2A0E8ECF" w14:textId="77777777" w:rsidTr="00D04B85">
        <w:tc>
          <w:tcPr>
            <w:tcW w:w="2219" w:type="dxa"/>
            <w:vAlign w:val="center"/>
          </w:tcPr>
          <w:p w14:paraId="1BDA4B86" w14:textId="5A93E23B" w:rsidR="00BF2E78" w:rsidRDefault="00BF2E78" w:rsidP="00BF2E78">
            <w:r>
              <w:t>American Samoa</w:t>
            </w:r>
            <w:r w:rsidR="006E5949">
              <w:t xml:space="preserve"> Medicaid Office:</w:t>
            </w:r>
          </w:p>
          <w:p w14:paraId="4F99E16B" w14:textId="68989114" w:rsidR="006E5949" w:rsidRDefault="006E5949" w:rsidP="00BF2E78">
            <w:r>
              <w:t>648-699-4777</w:t>
            </w:r>
          </w:p>
        </w:tc>
        <w:tc>
          <w:tcPr>
            <w:tcW w:w="2219" w:type="dxa"/>
          </w:tcPr>
          <w:p w14:paraId="46886A74" w14:textId="0572EA63" w:rsidR="00BF2E78" w:rsidRDefault="00000000" w:rsidP="00BF2E78">
            <w:hyperlink r:id="rId90" w:history="1">
              <w:r w:rsidR="00BF2E78" w:rsidRPr="00BF2E78">
                <w:rPr>
                  <w:rStyle w:val="Hyperlink"/>
                </w:rPr>
                <w:t>District of Columbia</w:t>
              </w:r>
            </w:hyperlink>
          </w:p>
        </w:tc>
        <w:tc>
          <w:tcPr>
            <w:tcW w:w="2219" w:type="dxa"/>
            <w:vAlign w:val="center"/>
          </w:tcPr>
          <w:p w14:paraId="5D699F69" w14:textId="304899BC" w:rsidR="00BF2E78" w:rsidRDefault="00000000" w:rsidP="00BF2E78">
            <w:hyperlink r:id="rId91" w:history="1">
              <w:r w:rsidR="00BF2E78" w:rsidRPr="006E5949">
                <w:rPr>
                  <w:rStyle w:val="Hyperlink"/>
                </w:rPr>
                <w:t>Guam</w:t>
              </w:r>
            </w:hyperlink>
          </w:p>
        </w:tc>
        <w:tc>
          <w:tcPr>
            <w:tcW w:w="2219" w:type="dxa"/>
            <w:vAlign w:val="center"/>
          </w:tcPr>
          <w:p w14:paraId="38155B4F" w14:textId="02371F09" w:rsidR="00BF2E78" w:rsidRDefault="00000000" w:rsidP="00BF2E78">
            <w:hyperlink r:id="rId92" w:history="1">
              <w:r w:rsidR="00BF2E78" w:rsidRPr="006E5949">
                <w:rPr>
                  <w:rStyle w:val="Hyperlink"/>
                </w:rPr>
                <w:t>Northern Mariana Islands</w:t>
              </w:r>
            </w:hyperlink>
          </w:p>
        </w:tc>
        <w:tc>
          <w:tcPr>
            <w:tcW w:w="2219" w:type="dxa"/>
            <w:vAlign w:val="center"/>
          </w:tcPr>
          <w:p w14:paraId="265CA936" w14:textId="4B572056" w:rsidR="00BF2E78" w:rsidRDefault="00000000" w:rsidP="00BF2E78">
            <w:hyperlink r:id="rId93" w:history="1">
              <w:r w:rsidR="00BF2E78" w:rsidRPr="006E5949">
                <w:rPr>
                  <w:rStyle w:val="Hyperlink"/>
                </w:rPr>
                <w:t>Puerto Rico</w:t>
              </w:r>
            </w:hyperlink>
          </w:p>
        </w:tc>
        <w:tc>
          <w:tcPr>
            <w:tcW w:w="2220" w:type="dxa"/>
            <w:vAlign w:val="center"/>
          </w:tcPr>
          <w:p w14:paraId="4BD44958" w14:textId="6328ED09" w:rsidR="00BF2E78" w:rsidRDefault="00000000" w:rsidP="00BF2E78">
            <w:hyperlink r:id="rId94" w:history="1">
              <w:r w:rsidR="00BF2E78" w:rsidRPr="006E5949">
                <w:rPr>
                  <w:rStyle w:val="Hyperlink"/>
                </w:rPr>
                <w:t>US Virgin Islands</w:t>
              </w:r>
            </w:hyperlink>
          </w:p>
        </w:tc>
      </w:tr>
    </w:tbl>
    <w:p w14:paraId="03362954" w14:textId="77777777" w:rsidR="00BF2E78" w:rsidRDefault="00BF2E78" w:rsidP="00BF2E78"/>
    <w:p w14:paraId="74F52798" w14:textId="6E4E58BF" w:rsidR="00671504" w:rsidRDefault="004B4E10" w:rsidP="00671504">
      <w:pPr>
        <w:pStyle w:val="Heading2"/>
        <w:rPr>
          <w:b/>
          <w:bCs/>
        </w:rPr>
      </w:pPr>
      <w:bookmarkStart w:id="6" w:name="_COVID-19_Reporting_Requirements"/>
      <w:bookmarkEnd w:id="6"/>
      <w:r w:rsidRPr="004B4E10">
        <w:rPr>
          <w:b/>
          <w:bCs/>
        </w:rPr>
        <w:t>COVID-19</w:t>
      </w:r>
      <w:r w:rsidR="00671504" w:rsidRPr="004B4E10">
        <w:rPr>
          <w:b/>
          <w:bCs/>
        </w:rPr>
        <w:t xml:space="preserve"> Reporting </w:t>
      </w:r>
      <w:r w:rsidRPr="004B4E10">
        <w:rPr>
          <w:b/>
          <w:bCs/>
        </w:rPr>
        <w:t>Requirements</w:t>
      </w:r>
    </w:p>
    <w:tbl>
      <w:tblPr>
        <w:tblStyle w:val="TableGrid"/>
        <w:tblW w:w="13315" w:type="dxa"/>
        <w:tblLayout w:type="fixed"/>
        <w:tblLook w:val="04A0" w:firstRow="1" w:lastRow="0" w:firstColumn="1" w:lastColumn="0" w:noHBand="0" w:noVBand="1"/>
      </w:tblPr>
      <w:tblGrid>
        <w:gridCol w:w="8905"/>
        <w:gridCol w:w="4410"/>
      </w:tblGrid>
      <w:tr w:rsidR="00022AC5" w:rsidRPr="00703B7E" w14:paraId="23B47865" w14:textId="77777777" w:rsidTr="00BD12A9">
        <w:tc>
          <w:tcPr>
            <w:tcW w:w="8905" w:type="dxa"/>
          </w:tcPr>
          <w:p w14:paraId="5CE9C9BE" w14:textId="1696883C" w:rsidR="00022AC5" w:rsidRDefault="00022AC5" w:rsidP="004B4E10">
            <w:r>
              <w:t>“</w:t>
            </w:r>
            <w:r w:rsidRPr="00724CBC">
              <w:rPr>
                <w:b/>
                <w:bCs/>
              </w:rPr>
              <w:t>Reporting of COVID-19 laboratory results and immunization data to CDC will change</w:t>
            </w:r>
            <w:r w:rsidRPr="004B4E10">
              <w:t xml:space="preserve">. CDC COVID-19 data surveillance has been a cornerstone of our response, and during the PHE, HHS has had the authority to </w:t>
            </w:r>
            <w:r w:rsidRPr="00724CBC">
              <w:rPr>
                <w:b/>
                <w:bCs/>
              </w:rPr>
              <w:t>require lab test reporting for COVID-19</w:t>
            </w:r>
            <w:r w:rsidRPr="004B4E10">
              <w:t xml:space="preserve">. </w:t>
            </w:r>
            <w:r w:rsidRPr="00724CBC">
              <w:rPr>
                <w:b/>
                <w:bCs/>
              </w:rPr>
              <w:t>At the end of the COVID-19 PHE, HHS will no longer have this express authority to require this data from labs, which may affect the reporting of negative test results and impact the ability to calculate percent positivity for COVID-19 tests in some jurisdictions</w:t>
            </w:r>
            <w:r w:rsidRPr="004B4E10">
              <w:t xml:space="preserve">. CDC has been working to sign voluntary Data Use Agreements (DUAs), encouraging states and jurisdictions to continue sharing vaccine administration data beyond the PHE. Additionally, </w:t>
            </w:r>
            <w:r w:rsidRPr="00724CBC">
              <w:rPr>
                <w:b/>
                <w:bCs/>
              </w:rPr>
              <w:t>hospital data reporting will continue as required by the CMS conditions of participation through April 30, 2024, but reporting may be reduced from the current daily reporting to a lesser frequency</w:t>
            </w:r>
            <w:r w:rsidRPr="004B4E10">
              <w:t>.</w:t>
            </w:r>
            <w:r>
              <w:t>”</w:t>
            </w:r>
          </w:p>
        </w:tc>
        <w:tc>
          <w:tcPr>
            <w:tcW w:w="4410" w:type="dxa"/>
          </w:tcPr>
          <w:p w14:paraId="21BDADEA" w14:textId="04C5BD1B" w:rsidR="00022AC5" w:rsidRPr="00703B7E" w:rsidRDefault="00022AC5" w:rsidP="00022AC5">
            <w:pPr>
              <w:rPr>
                <w:lang w:val="fr-FR"/>
              </w:rPr>
            </w:pPr>
            <w:proofErr w:type="gramStart"/>
            <w:r w:rsidRPr="00703B7E">
              <w:rPr>
                <w:b/>
                <w:bCs/>
                <w:lang w:val="fr-FR"/>
              </w:rPr>
              <w:t>SOURCE:</w:t>
            </w:r>
            <w:proofErr w:type="gramEnd"/>
            <w:r w:rsidRPr="00703B7E">
              <w:rPr>
                <w:lang w:val="fr-FR"/>
              </w:rPr>
              <w:t xml:space="preserve"> </w:t>
            </w:r>
            <w:hyperlink r:id="rId95" w:history="1">
              <w:r w:rsidRPr="00703B7E">
                <w:rPr>
                  <w:rStyle w:val="Hyperlink"/>
                  <w:lang w:val="fr-FR"/>
                </w:rPr>
                <w:t>https://www.hhs.gov/about/news/2023/02/09/fact-sheet-covid-19-public-health-emergency-transition-roadmap.html</w:t>
              </w:r>
            </w:hyperlink>
            <w:r w:rsidRPr="00703B7E">
              <w:rPr>
                <w:lang w:val="fr-FR"/>
              </w:rPr>
              <w:t xml:space="preserve"> </w:t>
            </w:r>
          </w:p>
          <w:p w14:paraId="0FED752A" w14:textId="77777777" w:rsidR="00022AC5" w:rsidRPr="00703B7E" w:rsidRDefault="00022AC5" w:rsidP="004B4E10">
            <w:pPr>
              <w:rPr>
                <w:lang w:val="fr-FR"/>
              </w:rPr>
            </w:pPr>
          </w:p>
        </w:tc>
      </w:tr>
    </w:tbl>
    <w:p w14:paraId="575EE9F8" w14:textId="77777777" w:rsidR="004B4E10" w:rsidRPr="00703B7E" w:rsidRDefault="004B4E10" w:rsidP="004B4E10">
      <w:pPr>
        <w:rPr>
          <w:lang w:val="fr-FR"/>
        </w:rPr>
      </w:pPr>
    </w:p>
    <w:p w14:paraId="7787B82A" w14:textId="77777777" w:rsidR="00395CB2" w:rsidRPr="00703B7E" w:rsidRDefault="00395CB2" w:rsidP="00671504">
      <w:pPr>
        <w:rPr>
          <w:lang w:val="fr-FR"/>
        </w:rPr>
      </w:pPr>
    </w:p>
    <w:p w14:paraId="2114E9ED" w14:textId="622ADA91" w:rsidR="00395CB2" w:rsidRDefault="00395CB2" w:rsidP="00395CB2">
      <w:pPr>
        <w:pStyle w:val="Heading2"/>
        <w:rPr>
          <w:b/>
          <w:bCs/>
        </w:rPr>
      </w:pPr>
      <w:bookmarkStart w:id="7" w:name="_Other_Noteworthy_Changes"/>
      <w:bookmarkEnd w:id="7"/>
      <w:r w:rsidRPr="00395CB2">
        <w:rPr>
          <w:b/>
          <w:bCs/>
        </w:rPr>
        <w:lastRenderedPageBreak/>
        <w:t>Other Noteworthy Changes</w:t>
      </w:r>
    </w:p>
    <w:tbl>
      <w:tblPr>
        <w:tblStyle w:val="TableGrid"/>
        <w:tblW w:w="13315" w:type="dxa"/>
        <w:tblLook w:val="04A0" w:firstRow="1" w:lastRow="0" w:firstColumn="1" w:lastColumn="0" w:noHBand="0" w:noVBand="1"/>
      </w:tblPr>
      <w:tblGrid>
        <w:gridCol w:w="8905"/>
        <w:gridCol w:w="4410"/>
      </w:tblGrid>
      <w:tr w:rsidR="00022AC5" w:rsidRPr="00703B7E" w14:paraId="46D01B52" w14:textId="77777777" w:rsidTr="006751FA">
        <w:tc>
          <w:tcPr>
            <w:tcW w:w="8905" w:type="dxa"/>
          </w:tcPr>
          <w:p w14:paraId="484D8290" w14:textId="77777777" w:rsidR="00022AC5" w:rsidRDefault="00022AC5" w:rsidP="00022AC5">
            <w:r>
              <w:t>“</w:t>
            </w:r>
            <w:r w:rsidRPr="00724CBC">
              <w:rPr>
                <w:b/>
                <w:bCs/>
              </w:rPr>
              <w:t>Hospital Services</w:t>
            </w:r>
            <w:r w:rsidRPr="00395CB2">
              <w:t xml:space="preserve">: </w:t>
            </w:r>
            <w:r w:rsidRPr="008E09F6">
              <w:rPr>
                <w:b/>
                <w:bCs/>
              </w:rPr>
              <w:t>CMS has waived requirements at § 482.12(c)(1)-(2) and (4) that Medicare patients in the hospital must be under the care of a physician</w:t>
            </w:r>
            <w:r w:rsidRPr="00395CB2">
              <w:t xml:space="preserve">. This has allowed hospitals to use other practitioners, such as physician assistants and nurse practitioners, to the fullest extent possible. </w:t>
            </w:r>
            <w:r w:rsidRPr="008E09F6">
              <w:rPr>
                <w:b/>
                <w:bCs/>
                <w:i/>
                <w:iCs/>
              </w:rPr>
              <w:t>This waiver is required to be implemented in accordance with a state’s emergency preparedness or pandemic plan and will expire at the end of the COVID-19 public health emergency.</w:t>
            </w:r>
            <w:r>
              <w:t>”</w:t>
            </w:r>
          </w:p>
          <w:p w14:paraId="5E126497" w14:textId="77777777" w:rsidR="00022AC5" w:rsidRDefault="00022AC5" w:rsidP="00395CB2"/>
        </w:tc>
        <w:tc>
          <w:tcPr>
            <w:tcW w:w="4410" w:type="dxa"/>
          </w:tcPr>
          <w:p w14:paraId="6697A9C5" w14:textId="77777777" w:rsidR="00022AC5" w:rsidRPr="00703B7E" w:rsidRDefault="00022AC5" w:rsidP="00022AC5">
            <w:pPr>
              <w:rPr>
                <w:lang w:val="fr-FR"/>
              </w:rPr>
            </w:pPr>
            <w:proofErr w:type="gramStart"/>
            <w:r w:rsidRPr="00703B7E">
              <w:rPr>
                <w:b/>
                <w:bCs/>
                <w:lang w:val="fr-FR"/>
              </w:rPr>
              <w:t>SOURCE</w:t>
            </w:r>
            <w:r w:rsidRPr="00703B7E">
              <w:rPr>
                <w:lang w:val="fr-FR"/>
              </w:rPr>
              <w:t>:</w:t>
            </w:r>
            <w:proofErr w:type="gramEnd"/>
            <w:r w:rsidRPr="00703B7E">
              <w:rPr>
                <w:lang w:val="fr-FR"/>
              </w:rPr>
              <w:t xml:space="preserve"> </w:t>
            </w:r>
            <w:hyperlink r:id="rId96" w:history="1">
              <w:r w:rsidRPr="00703B7E">
                <w:rPr>
                  <w:rStyle w:val="Hyperlink"/>
                  <w:lang w:val="fr-FR"/>
                </w:rPr>
                <w:t>https://www.cms.gov/files/document/physicians-and-other-clinicians-cms-flexibilities-fight-covid-19.pdf</w:t>
              </w:r>
            </w:hyperlink>
            <w:r w:rsidRPr="00703B7E">
              <w:rPr>
                <w:lang w:val="fr-FR"/>
              </w:rPr>
              <w:t xml:space="preserve"> </w:t>
            </w:r>
          </w:p>
          <w:p w14:paraId="02A9CAA7" w14:textId="77777777" w:rsidR="00022AC5" w:rsidRPr="00703B7E" w:rsidRDefault="00022AC5" w:rsidP="00395CB2">
            <w:pPr>
              <w:rPr>
                <w:lang w:val="fr-FR"/>
              </w:rPr>
            </w:pPr>
          </w:p>
        </w:tc>
      </w:tr>
    </w:tbl>
    <w:p w14:paraId="6B4C52CF" w14:textId="77777777" w:rsidR="00395CB2" w:rsidRPr="00703B7E" w:rsidRDefault="00395CB2" w:rsidP="00395CB2">
      <w:pPr>
        <w:rPr>
          <w:lang w:val="fr-FR"/>
        </w:rPr>
      </w:pPr>
    </w:p>
    <w:p w14:paraId="258848FA" w14:textId="77777777" w:rsidR="00022AC5" w:rsidRPr="00703B7E" w:rsidRDefault="00022AC5">
      <w:pPr>
        <w:rPr>
          <w:lang w:val="fr-FR"/>
        </w:rPr>
      </w:pPr>
    </w:p>
    <w:sectPr w:rsidR="00022AC5" w:rsidRPr="00703B7E" w:rsidSect="00932E83">
      <w:headerReference w:type="first" r:id="rId9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6A66" w14:textId="77777777" w:rsidR="007B4166" w:rsidRDefault="007B4166" w:rsidP="00932E83">
      <w:r>
        <w:separator/>
      </w:r>
    </w:p>
  </w:endnote>
  <w:endnote w:type="continuationSeparator" w:id="0">
    <w:p w14:paraId="68CF9A19" w14:textId="77777777" w:rsidR="007B4166" w:rsidRDefault="007B4166" w:rsidP="0093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0F68" w14:textId="77777777" w:rsidR="007B4166" w:rsidRDefault="007B4166" w:rsidP="00932E83">
      <w:r>
        <w:separator/>
      </w:r>
    </w:p>
  </w:footnote>
  <w:footnote w:type="continuationSeparator" w:id="0">
    <w:p w14:paraId="7AC23686" w14:textId="77777777" w:rsidR="007B4166" w:rsidRDefault="007B4166" w:rsidP="0093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F7CB" w14:textId="798DD6B9" w:rsidR="00932E83" w:rsidRDefault="006109B6">
    <w:pPr>
      <w:pStyle w:val="Header"/>
    </w:pPr>
    <w:r>
      <w:rPr>
        <w:rFonts w:cstheme="minorHAnsi"/>
        <w:b/>
        <w:bCs/>
        <w:noProof/>
      </w:rPr>
      <w:drawing>
        <wp:anchor distT="0" distB="0" distL="114300" distR="114300" simplePos="0" relativeHeight="251659264" behindDoc="0" locked="0" layoutInCell="1" allowOverlap="1" wp14:anchorId="51735E02" wp14:editId="479AB9F2">
          <wp:simplePos x="0" y="0"/>
          <wp:positionH relativeFrom="margin">
            <wp:align>center</wp:align>
          </wp:positionH>
          <wp:positionV relativeFrom="paragraph">
            <wp:posOffset>-438150</wp:posOffset>
          </wp:positionV>
          <wp:extent cx="4057650" cy="1022350"/>
          <wp:effectExtent l="0" t="0" r="0" b="6350"/>
          <wp:wrapThrough wrapText="bothSides">
            <wp:wrapPolygon edited="0">
              <wp:start x="0" y="0"/>
              <wp:lineTo x="0" y="21332"/>
              <wp:lineTo x="21499" y="21332"/>
              <wp:lineTo x="21499" y="0"/>
              <wp:lineTo x="0" y="0"/>
            </wp:wrapPolygon>
          </wp:wrapThrough>
          <wp:docPr id="17" name="Picture 1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
                    <a:extLst>
                      <a:ext uri="{28A0092B-C50C-407E-A947-70E740481C1C}">
                        <a14:useLocalDpi xmlns:a14="http://schemas.microsoft.com/office/drawing/2010/main" val="0"/>
                      </a:ext>
                    </a:extLst>
                  </a:blip>
                  <a:srcRect r="38152" b="-2625"/>
                  <a:stretch/>
                </pic:blipFill>
                <pic:spPr bwMode="auto">
                  <a:xfrm>
                    <a:off x="0" y="0"/>
                    <a:ext cx="4057650" cy="1022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E89"/>
    <w:multiLevelType w:val="hybridMultilevel"/>
    <w:tmpl w:val="75CA2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94B"/>
    <w:multiLevelType w:val="multilevel"/>
    <w:tmpl w:val="44B6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B1BF3"/>
    <w:multiLevelType w:val="hybridMultilevel"/>
    <w:tmpl w:val="C43A9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F6C0E"/>
    <w:multiLevelType w:val="multilevel"/>
    <w:tmpl w:val="507C1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B07C94"/>
    <w:multiLevelType w:val="multilevel"/>
    <w:tmpl w:val="8BF6E3D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A50316"/>
    <w:multiLevelType w:val="hybridMultilevel"/>
    <w:tmpl w:val="D216546A"/>
    <w:lvl w:ilvl="0" w:tplc="767A8304">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 w15:restartNumberingAfterBreak="0">
    <w:nsid w:val="5721610F"/>
    <w:multiLevelType w:val="hybridMultilevel"/>
    <w:tmpl w:val="977E2BE0"/>
    <w:lvl w:ilvl="0" w:tplc="767A8304">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514898"/>
    <w:multiLevelType w:val="multilevel"/>
    <w:tmpl w:val="4132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C05E1B"/>
    <w:multiLevelType w:val="hybridMultilevel"/>
    <w:tmpl w:val="3932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318919">
    <w:abstractNumId w:val="2"/>
  </w:num>
  <w:num w:numId="2" w16cid:durableId="984773180">
    <w:abstractNumId w:val="5"/>
  </w:num>
  <w:num w:numId="3" w16cid:durableId="977415998">
    <w:abstractNumId w:val="7"/>
  </w:num>
  <w:num w:numId="4" w16cid:durableId="2118407300">
    <w:abstractNumId w:val="1"/>
  </w:num>
  <w:num w:numId="5" w16cid:durableId="1393389080">
    <w:abstractNumId w:val="6"/>
  </w:num>
  <w:num w:numId="6" w16cid:durableId="945502933">
    <w:abstractNumId w:val="3"/>
  </w:num>
  <w:num w:numId="7" w16cid:durableId="234584924">
    <w:abstractNumId w:val="4"/>
  </w:num>
  <w:num w:numId="8" w16cid:durableId="1701398235">
    <w:abstractNumId w:val="8"/>
  </w:num>
  <w:num w:numId="9" w16cid:durableId="1911772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04"/>
    <w:rsid w:val="0000384C"/>
    <w:rsid w:val="0001668A"/>
    <w:rsid w:val="00022AC5"/>
    <w:rsid w:val="00031638"/>
    <w:rsid w:val="000E6264"/>
    <w:rsid w:val="00105D13"/>
    <w:rsid w:val="001756F7"/>
    <w:rsid w:val="00182FD9"/>
    <w:rsid w:val="001C7273"/>
    <w:rsid w:val="002275E5"/>
    <w:rsid w:val="002331C1"/>
    <w:rsid w:val="00334D29"/>
    <w:rsid w:val="00336D0E"/>
    <w:rsid w:val="00367095"/>
    <w:rsid w:val="00395CB2"/>
    <w:rsid w:val="003B3CBD"/>
    <w:rsid w:val="00412192"/>
    <w:rsid w:val="00480D64"/>
    <w:rsid w:val="004B4E10"/>
    <w:rsid w:val="004E327E"/>
    <w:rsid w:val="00564664"/>
    <w:rsid w:val="005A029C"/>
    <w:rsid w:val="006109B6"/>
    <w:rsid w:val="00621090"/>
    <w:rsid w:val="00622908"/>
    <w:rsid w:val="00671504"/>
    <w:rsid w:val="006751FA"/>
    <w:rsid w:val="006761C2"/>
    <w:rsid w:val="006851DE"/>
    <w:rsid w:val="006E5949"/>
    <w:rsid w:val="00703B7E"/>
    <w:rsid w:val="0072302C"/>
    <w:rsid w:val="00724CBC"/>
    <w:rsid w:val="007B4166"/>
    <w:rsid w:val="007D68BC"/>
    <w:rsid w:val="007F5369"/>
    <w:rsid w:val="00882E6B"/>
    <w:rsid w:val="00893EA8"/>
    <w:rsid w:val="008E09F6"/>
    <w:rsid w:val="00932E83"/>
    <w:rsid w:val="00964824"/>
    <w:rsid w:val="00966CE4"/>
    <w:rsid w:val="00974044"/>
    <w:rsid w:val="00993B2C"/>
    <w:rsid w:val="00A7399F"/>
    <w:rsid w:val="00AD2B0C"/>
    <w:rsid w:val="00BB6C81"/>
    <w:rsid w:val="00BD12A9"/>
    <w:rsid w:val="00BF2E78"/>
    <w:rsid w:val="00C20655"/>
    <w:rsid w:val="00C322AD"/>
    <w:rsid w:val="00C32D38"/>
    <w:rsid w:val="00C471A3"/>
    <w:rsid w:val="00CC07D3"/>
    <w:rsid w:val="00D04B85"/>
    <w:rsid w:val="00D812CA"/>
    <w:rsid w:val="00E5302B"/>
    <w:rsid w:val="00F25345"/>
    <w:rsid w:val="00F3543E"/>
    <w:rsid w:val="00F846F4"/>
    <w:rsid w:val="00F97F00"/>
    <w:rsid w:val="00FD5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111C"/>
  <w15:chartTrackingRefBased/>
  <w15:docId w15:val="{58F944B0-E357-584B-A8B5-D565F497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1C2"/>
    <w:rPr>
      <w:sz w:val="20"/>
    </w:rPr>
  </w:style>
  <w:style w:type="paragraph" w:styleId="Heading1">
    <w:name w:val="heading 1"/>
    <w:basedOn w:val="Normal"/>
    <w:next w:val="Normal"/>
    <w:link w:val="Heading1Char"/>
    <w:uiPriority w:val="9"/>
    <w:qFormat/>
    <w:rsid w:val="006715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15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FD5921"/>
    <w:pPr>
      <w:jc w:val="right"/>
      <w:outlineLvl w:val="2"/>
    </w:pPr>
    <w:rPr>
      <w:rFonts w:ascii="Calibri" w:eastAsiaTheme="minorEastAsia" w:hAnsi="Calibri"/>
      <w:i/>
      <w:iCs/>
      <w:color w:val="000000" w:themeColor="text1"/>
    </w:rPr>
  </w:style>
  <w:style w:type="paragraph" w:styleId="Heading4">
    <w:name w:val="heading 4"/>
    <w:basedOn w:val="Normal"/>
    <w:next w:val="Normal"/>
    <w:link w:val="Heading4Char"/>
    <w:uiPriority w:val="9"/>
    <w:unhideWhenUsed/>
    <w:qFormat/>
    <w:rsid w:val="004B4E1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5921"/>
    <w:rPr>
      <w:rFonts w:ascii="Calibri" w:eastAsiaTheme="minorEastAsia" w:hAnsi="Calibri"/>
      <w:i/>
      <w:iCs/>
      <w:color w:val="000000" w:themeColor="text1"/>
      <w:sz w:val="20"/>
    </w:rPr>
  </w:style>
  <w:style w:type="character" w:customStyle="1" w:styleId="Heading1Char">
    <w:name w:val="Heading 1 Char"/>
    <w:basedOn w:val="DefaultParagraphFont"/>
    <w:link w:val="Heading1"/>
    <w:uiPriority w:val="9"/>
    <w:rsid w:val="0067150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71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7150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B4E10"/>
    <w:rPr>
      <w:color w:val="0563C1" w:themeColor="hyperlink"/>
      <w:u w:val="single"/>
    </w:rPr>
  </w:style>
  <w:style w:type="character" w:styleId="UnresolvedMention">
    <w:name w:val="Unresolved Mention"/>
    <w:basedOn w:val="DefaultParagraphFont"/>
    <w:uiPriority w:val="99"/>
    <w:semiHidden/>
    <w:unhideWhenUsed/>
    <w:rsid w:val="004B4E10"/>
    <w:rPr>
      <w:color w:val="605E5C"/>
      <w:shd w:val="clear" w:color="auto" w:fill="E1DFDD"/>
    </w:rPr>
  </w:style>
  <w:style w:type="character" w:customStyle="1" w:styleId="Heading4Char">
    <w:name w:val="Heading 4 Char"/>
    <w:basedOn w:val="DefaultParagraphFont"/>
    <w:link w:val="Heading4"/>
    <w:uiPriority w:val="9"/>
    <w:rsid w:val="004B4E10"/>
    <w:rPr>
      <w:rFonts w:asciiTheme="majorHAnsi" w:eastAsiaTheme="majorEastAsia" w:hAnsiTheme="majorHAnsi" w:cstheme="majorBidi"/>
      <w:i/>
      <w:iCs/>
      <w:color w:val="2F5496" w:themeColor="accent1" w:themeShade="BF"/>
      <w:sz w:val="20"/>
    </w:rPr>
  </w:style>
  <w:style w:type="paragraph" w:styleId="ListParagraph">
    <w:name w:val="List Paragraph"/>
    <w:basedOn w:val="Normal"/>
    <w:uiPriority w:val="34"/>
    <w:qFormat/>
    <w:rsid w:val="003B3CBD"/>
    <w:pPr>
      <w:ind w:left="720"/>
      <w:contextualSpacing/>
    </w:pPr>
  </w:style>
  <w:style w:type="character" w:customStyle="1" w:styleId="apple-converted-space">
    <w:name w:val="apple-converted-space"/>
    <w:basedOn w:val="DefaultParagraphFont"/>
    <w:rsid w:val="001756F7"/>
  </w:style>
  <w:style w:type="character" w:customStyle="1" w:styleId="text-no-wrap">
    <w:name w:val="text-no-wrap"/>
    <w:basedOn w:val="DefaultParagraphFont"/>
    <w:rsid w:val="001756F7"/>
  </w:style>
  <w:style w:type="paragraph" w:styleId="Revision">
    <w:name w:val="Revision"/>
    <w:hidden/>
    <w:uiPriority w:val="99"/>
    <w:semiHidden/>
    <w:rsid w:val="00182FD9"/>
    <w:rPr>
      <w:sz w:val="20"/>
    </w:rPr>
  </w:style>
  <w:style w:type="character" w:styleId="FollowedHyperlink">
    <w:name w:val="FollowedHyperlink"/>
    <w:basedOn w:val="DefaultParagraphFont"/>
    <w:uiPriority w:val="99"/>
    <w:semiHidden/>
    <w:unhideWhenUsed/>
    <w:rsid w:val="00F25345"/>
    <w:rPr>
      <w:color w:val="954F72" w:themeColor="followedHyperlink"/>
      <w:u w:val="single"/>
    </w:rPr>
  </w:style>
  <w:style w:type="paragraph" w:styleId="Header">
    <w:name w:val="header"/>
    <w:basedOn w:val="Normal"/>
    <w:link w:val="HeaderChar"/>
    <w:uiPriority w:val="99"/>
    <w:unhideWhenUsed/>
    <w:rsid w:val="00932E83"/>
    <w:pPr>
      <w:tabs>
        <w:tab w:val="center" w:pos="4680"/>
        <w:tab w:val="right" w:pos="9360"/>
      </w:tabs>
    </w:pPr>
  </w:style>
  <w:style w:type="character" w:customStyle="1" w:styleId="HeaderChar">
    <w:name w:val="Header Char"/>
    <w:basedOn w:val="DefaultParagraphFont"/>
    <w:link w:val="Header"/>
    <w:uiPriority w:val="99"/>
    <w:rsid w:val="00932E83"/>
    <w:rPr>
      <w:sz w:val="20"/>
    </w:rPr>
  </w:style>
  <w:style w:type="paragraph" w:styleId="Footer">
    <w:name w:val="footer"/>
    <w:basedOn w:val="Normal"/>
    <w:link w:val="FooterChar"/>
    <w:uiPriority w:val="99"/>
    <w:unhideWhenUsed/>
    <w:rsid w:val="00932E83"/>
    <w:pPr>
      <w:tabs>
        <w:tab w:val="center" w:pos="4680"/>
        <w:tab w:val="right" w:pos="9360"/>
      </w:tabs>
    </w:pPr>
  </w:style>
  <w:style w:type="character" w:customStyle="1" w:styleId="FooterChar">
    <w:name w:val="Footer Char"/>
    <w:basedOn w:val="DefaultParagraphFont"/>
    <w:link w:val="Footer"/>
    <w:uiPriority w:val="99"/>
    <w:rsid w:val="00932E8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2996">
      <w:bodyDiv w:val="1"/>
      <w:marLeft w:val="0"/>
      <w:marRight w:val="0"/>
      <w:marTop w:val="0"/>
      <w:marBottom w:val="0"/>
      <w:divBdr>
        <w:top w:val="none" w:sz="0" w:space="0" w:color="auto"/>
        <w:left w:val="none" w:sz="0" w:space="0" w:color="auto"/>
        <w:bottom w:val="none" w:sz="0" w:space="0" w:color="auto"/>
        <w:right w:val="none" w:sz="0" w:space="0" w:color="auto"/>
      </w:divBdr>
    </w:div>
    <w:div w:id="72818947">
      <w:bodyDiv w:val="1"/>
      <w:marLeft w:val="0"/>
      <w:marRight w:val="0"/>
      <w:marTop w:val="0"/>
      <w:marBottom w:val="0"/>
      <w:divBdr>
        <w:top w:val="none" w:sz="0" w:space="0" w:color="auto"/>
        <w:left w:val="none" w:sz="0" w:space="0" w:color="auto"/>
        <w:bottom w:val="none" w:sz="0" w:space="0" w:color="auto"/>
        <w:right w:val="none" w:sz="0" w:space="0" w:color="auto"/>
      </w:divBdr>
    </w:div>
    <w:div w:id="115175774">
      <w:bodyDiv w:val="1"/>
      <w:marLeft w:val="0"/>
      <w:marRight w:val="0"/>
      <w:marTop w:val="0"/>
      <w:marBottom w:val="0"/>
      <w:divBdr>
        <w:top w:val="none" w:sz="0" w:space="0" w:color="auto"/>
        <w:left w:val="none" w:sz="0" w:space="0" w:color="auto"/>
        <w:bottom w:val="none" w:sz="0" w:space="0" w:color="auto"/>
        <w:right w:val="none" w:sz="0" w:space="0" w:color="auto"/>
      </w:divBdr>
      <w:divsChild>
        <w:div w:id="928924955">
          <w:marLeft w:val="0"/>
          <w:marRight w:val="0"/>
          <w:marTop w:val="0"/>
          <w:marBottom w:val="0"/>
          <w:divBdr>
            <w:top w:val="none" w:sz="0" w:space="0" w:color="auto"/>
            <w:left w:val="none" w:sz="0" w:space="0" w:color="auto"/>
            <w:bottom w:val="none" w:sz="0" w:space="0" w:color="auto"/>
            <w:right w:val="none" w:sz="0" w:space="0" w:color="auto"/>
          </w:divBdr>
        </w:div>
        <w:div w:id="1441294479">
          <w:marLeft w:val="0"/>
          <w:marRight w:val="0"/>
          <w:marTop w:val="0"/>
          <w:marBottom w:val="150"/>
          <w:divBdr>
            <w:top w:val="none" w:sz="0" w:space="0" w:color="auto"/>
            <w:left w:val="none" w:sz="0" w:space="0" w:color="auto"/>
            <w:bottom w:val="none" w:sz="0" w:space="0" w:color="auto"/>
            <w:right w:val="none" w:sz="0" w:space="0" w:color="auto"/>
          </w:divBdr>
          <w:divsChild>
            <w:div w:id="667713297">
              <w:marLeft w:val="0"/>
              <w:marRight w:val="0"/>
              <w:marTop w:val="0"/>
              <w:marBottom w:val="0"/>
              <w:divBdr>
                <w:top w:val="none" w:sz="0" w:space="0" w:color="auto"/>
                <w:left w:val="none" w:sz="0" w:space="0" w:color="auto"/>
                <w:bottom w:val="none" w:sz="0" w:space="0" w:color="auto"/>
                <w:right w:val="none" w:sz="0" w:space="0" w:color="auto"/>
              </w:divBdr>
            </w:div>
            <w:div w:id="1827745440">
              <w:marLeft w:val="0"/>
              <w:marRight w:val="0"/>
              <w:marTop w:val="0"/>
              <w:marBottom w:val="0"/>
              <w:divBdr>
                <w:top w:val="none" w:sz="0" w:space="0" w:color="auto"/>
                <w:left w:val="none" w:sz="0" w:space="0" w:color="auto"/>
                <w:bottom w:val="none" w:sz="0" w:space="0" w:color="auto"/>
                <w:right w:val="none" w:sz="0" w:space="0" w:color="auto"/>
              </w:divBdr>
            </w:div>
            <w:div w:id="992375180">
              <w:marLeft w:val="0"/>
              <w:marRight w:val="0"/>
              <w:marTop w:val="0"/>
              <w:marBottom w:val="0"/>
              <w:divBdr>
                <w:top w:val="none" w:sz="0" w:space="0" w:color="auto"/>
                <w:left w:val="none" w:sz="0" w:space="0" w:color="auto"/>
                <w:bottom w:val="none" w:sz="0" w:space="0" w:color="auto"/>
                <w:right w:val="none" w:sz="0" w:space="0" w:color="auto"/>
              </w:divBdr>
            </w:div>
            <w:div w:id="8791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6802">
      <w:bodyDiv w:val="1"/>
      <w:marLeft w:val="0"/>
      <w:marRight w:val="0"/>
      <w:marTop w:val="0"/>
      <w:marBottom w:val="0"/>
      <w:divBdr>
        <w:top w:val="none" w:sz="0" w:space="0" w:color="auto"/>
        <w:left w:val="none" w:sz="0" w:space="0" w:color="auto"/>
        <w:bottom w:val="none" w:sz="0" w:space="0" w:color="auto"/>
        <w:right w:val="none" w:sz="0" w:space="0" w:color="auto"/>
      </w:divBdr>
    </w:div>
    <w:div w:id="146751481">
      <w:bodyDiv w:val="1"/>
      <w:marLeft w:val="0"/>
      <w:marRight w:val="0"/>
      <w:marTop w:val="0"/>
      <w:marBottom w:val="0"/>
      <w:divBdr>
        <w:top w:val="none" w:sz="0" w:space="0" w:color="auto"/>
        <w:left w:val="none" w:sz="0" w:space="0" w:color="auto"/>
        <w:bottom w:val="none" w:sz="0" w:space="0" w:color="auto"/>
        <w:right w:val="none" w:sz="0" w:space="0" w:color="auto"/>
      </w:divBdr>
      <w:divsChild>
        <w:div w:id="239297013">
          <w:marLeft w:val="0"/>
          <w:marRight w:val="0"/>
          <w:marTop w:val="0"/>
          <w:marBottom w:val="0"/>
          <w:divBdr>
            <w:top w:val="none" w:sz="0" w:space="0" w:color="auto"/>
            <w:left w:val="none" w:sz="0" w:space="0" w:color="auto"/>
            <w:bottom w:val="none" w:sz="0" w:space="0" w:color="auto"/>
            <w:right w:val="none" w:sz="0" w:space="0" w:color="auto"/>
          </w:divBdr>
          <w:divsChild>
            <w:div w:id="1080562005">
              <w:marLeft w:val="0"/>
              <w:marRight w:val="0"/>
              <w:marTop w:val="0"/>
              <w:marBottom w:val="0"/>
              <w:divBdr>
                <w:top w:val="none" w:sz="0" w:space="0" w:color="auto"/>
                <w:left w:val="none" w:sz="0" w:space="0" w:color="auto"/>
                <w:bottom w:val="none" w:sz="0" w:space="0" w:color="auto"/>
                <w:right w:val="none" w:sz="0" w:space="0" w:color="auto"/>
              </w:divBdr>
              <w:divsChild>
                <w:div w:id="1578591507">
                  <w:marLeft w:val="0"/>
                  <w:marRight w:val="0"/>
                  <w:marTop w:val="0"/>
                  <w:marBottom w:val="0"/>
                  <w:divBdr>
                    <w:top w:val="none" w:sz="0" w:space="0" w:color="auto"/>
                    <w:left w:val="none" w:sz="0" w:space="0" w:color="auto"/>
                    <w:bottom w:val="none" w:sz="0" w:space="0" w:color="auto"/>
                    <w:right w:val="none" w:sz="0" w:space="0" w:color="auto"/>
                  </w:divBdr>
                </w:div>
              </w:divsChild>
            </w:div>
            <w:div w:id="1903711288">
              <w:marLeft w:val="0"/>
              <w:marRight w:val="0"/>
              <w:marTop w:val="0"/>
              <w:marBottom w:val="0"/>
              <w:divBdr>
                <w:top w:val="none" w:sz="0" w:space="0" w:color="auto"/>
                <w:left w:val="none" w:sz="0" w:space="0" w:color="auto"/>
                <w:bottom w:val="none" w:sz="0" w:space="0" w:color="auto"/>
                <w:right w:val="none" w:sz="0" w:space="0" w:color="auto"/>
              </w:divBdr>
              <w:divsChild>
                <w:div w:id="702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1255">
      <w:bodyDiv w:val="1"/>
      <w:marLeft w:val="0"/>
      <w:marRight w:val="0"/>
      <w:marTop w:val="0"/>
      <w:marBottom w:val="0"/>
      <w:divBdr>
        <w:top w:val="none" w:sz="0" w:space="0" w:color="auto"/>
        <w:left w:val="none" w:sz="0" w:space="0" w:color="auto"/>
        <w:bottom w:val="none" w:sz="0" w:space="0" w:color="auto"/>
        <w:right w:val="none" w:sz="0" w:space="0" w:color="auto"/>
      </w:divBdr>
      <w:divsChild>
        <w:div w:id="797335876">
          <w:marLeft w:val="0"/>
          <w:marRight w:val="0"/>
          <w:marTop w:val="0"/>
          <w:marBottom w:val="0"/>
          <w:divBdr>
            <w:top w:val="none" w:sz="0" w:space="0" w:color="auto"/>
            <w:left w:val="none" w:sz="0" w:space="0" w:color="auto"/>
            <w:bottom w:val="none" w:sz="0" w:space="0" w:color="auto"/>
            <w:right w:val="none" w:sz="0" w:space="0" w:color="auto"/>
          </w:divBdr>
          <w:divsChild>
            <w:div w:id="1194655925">
              <w:marLeft w:val="0"/>
              <w:marRight w:val="0"/>
              <w:marTop w:val="0"/>
              <w:marBottom w:val="0"/>
              <w:divBdr>
                <w:top w:val="none" w:sz="0" w:space="0" w:color="auto"/>
                <w:left w:val="none" w:sz="0" w:space="0" w:color="auto"/>
                <w:bottom w:val="none" w:sz="0" w:space="0" w:color="auto"/>
                <w:right w:val="none" w:sz="0" w:space="0" w:color="auto"/>
              </w:divBdr>
              <w:divsChild>
                <w:div w:id="8517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976078">
      <w:bodyDiv w:val="1"/>
      <w:marLeft w:val="0"/>
      <w:marRight w:val="0"/>
      <w:marTop w:val="0"/>
      <w:marBottom w:val="0"/>
      <w:divBdr>
        <w:top w:val="none" w:sz="0" w:space="0" w:color="auto"/>
        <w:left w:val="none" w:sz="0" w:space="0" w:color="auto"/>
        <w:bottom w:val="none" w:sz="0" w:space="0" w:color="auto"/>
        <w:right w:val="none" w:sz="0" w:space="0" w:color="auto"/>
      </w:divBdr>
      <w:divsChild>
        <w:div w:id="1746761063">
          <w:marLeft w:val="0"/>
          <w:marRight w:val="0"/>
          <w:marTop w:val="0"/>
          <w:marBottom w:val="0"/>
          <w:divBdr>
            <w:top w:val="none" w:sz="0" w:space="0" w:color="auto"/>
            <w:left w:val="none" w:sz="0" w:space="0" w:color="auto"/>
            <w:bottom w:val="none" w:sz="0" w:space="0" w:color="auto"/>
            <w:right w:val="none" w:sz="0" w:space="0" w:color="auto"/>
          </w:divBdr>
          <w:divsChild>
            <w:div w:id="102577121">
              <w:marLeft w:val="0"/>
              <w:marRight w:val="0"/>
              <w:marTop w:val="0"/>
              <w:marBottom w:val="0"/>
              <w:divBdr>
                <w:top w:val="none" w:sz="0" w:space="0" w:color="auto"/>
                <w:left w:val="none" w:sz="0" w:space="0" w:color="auto"/>
                <w:bottom w:val="none" w:sz="0" w:space="0" w:color="auto"/>
                <w:right w:val="none" w:sz="0" w:space="0" w:color="auto"/>
              </w:divBdr>
              <w:divsChild>
                <w:div w:id="4915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1729">
      <w:bodyDiv w:val="1"/>
      <w:marLeft w:val="0"/>
      <w:marRight w:val="0"/>
      <w:marTop w:val="0"/>
      <w:marBottom w:val="0"/>
      <w:divBdr>
        <w:top w:val="none" w:sz="0" w:space="0" w:color="auto"/>
        <w:left w:val="none" w:sz="0" w:space="0" w:color="auto"/>
        <w:bottom w:val="none" w:sz="0" w:space="0" w:color="auto"/>
        <w:right w:val="none" w:sz="0" w:space="0" w:color="auto"/>
      </w:divBdr>
      <w:divsChild>
        <w:div w:id="468013243">
          <w:marLeft w:val="0"/>
          <w:marRight w:val="0"/>
          <w:marTop w:val="0"/>
          <w:marBottom w:val="0"/>
          <w:divBdr>
            <w:top w:val="none" w:sz="0" w:space="0" w:color="auto"/>
            <w:left w:val="none" w:sz="0" w:space="0" w:color="auto"/>
            <w:bottom w:val="none" w:sz="0" w:space="0" w:color="auto"/>
            <w:right w:val="none" w:sz="0" w:space="0" w:color="auto"/>
          </w:divBdr>
        </w:div>
        <w:div w:id="1130634975">
          <w:marLeft w:val="0"/>
          <w:marRight w:val="0"/>
          <w:marTop w:val="0"/>
          <w:marBottom w:val="150"/>
          <w:divBdr>
            <w:top w:val="none" w:sz="0" w:space="0" w:color="auto"/>
            <w:left w:val="none" w:sz="0" w:space="0" w:color="auto"/>
            <w:bottom w:val="none" w:sz="0" w:space="0" w:color="auto"/>
            <w:right w:val="none" w:sz="0" w:space="0" w:color="auto"/>
          </w:divBdr>
          <w:divsChild>
            <w:div w:id="651106619">
              <w:marLeft w:val="0"/>
              <w:marRight w:val="0"/>
              <w:marTop w:val="0"/>
              <w:marBottom w:val="0"/>
              <w:divBdr>
                <w:top w:val="none" w:sz="0" w:space="0" w:color="auto"/>
                <w:left w:val="none" w:sz="0" w:space="0" w:color="auto"/>
                <w:bottom w:val="none" w:sz="0" w:space="0" w:color="auto"/>
                <w:right w:val="none" w:sz="0" w:space="0" w:color="auto"/>
              </w:divBdr>
            </w:div>
            <w:div w:id="1804497232">
              <w:marLeft w:val="0"/>
              <w:marRight w:val="0"/>
              <w:marTop w:val="0"/>
              <w:marBottom w:val="0"/>
              <w:divBdr>
                <w:top w:val="none" w:sz="0" w:space="0" w:color="auto"/>
                <w:left w:val="none" w:sz="0" w:space="0" w:color="auto"/>
                <w:bottom w:val="none" w:sz="0" w:space="0" w:color="auto"/>
                <w:right w:val="none" w:sz="0" w:space="0" w:color="auto"/>
              </w:divBdr>
            </w:div>
            <w:div w:id="918253763">
              <w:marLeft w:val="0"/>
              <w:marRight w:val="0"/>
              <w:marTop w:val="0"/>
              <w:marBottom w:val="0"/>
              <w:divBdr>
                <w:top w:val="none" w:sz="0" w:space="0" w:color="auto"/>
                <w:left w:val="none" w:sz="0" w:space="0" w:color="auto"/>
                <w:bottom w:val="none" w:sz="0" w:space="0" w:color="auto"/>
                <w:right w:val="none" w:sz="0" w:space="0" w:color="auto"/>
              </w:divBdr>
            </w:div>
            <w:div w:id="21385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90926">
      <w:bodyDiv w:val="1"/>
      <w:marLeft w:val="0"/>
      <w:marRight w:val="0"/>
      <w:marTop w:val="0"/>
      <w:marBottom w:val="0"/>
      <w:divBdr>
        <w:top w:val="none" w:sz="0" w:space="0" w:color="auto"/>
        <w:left w:val="none" w:sz="0" w:space="0" w:color="auto"/>
        <w:bottom w:val="none" w:sz="0" w:space="0" w:color="auto"/>
        <w:right w:val="none" w:sz="0" w:space="0" w:color="auto"/>
      </w:divBdr>
      <w:divsChild>
        <w:div w:id="2089574474">
          <w:marLeft w:val="0"/>
          <w:marRight w:val="0"/>
          <w:marTop w:val="0"/>
          <w:marBottom w:val="0"/>
          <w:divBdr>
            <w:top w:val="none" w:sz="0" w:space="0" w:color="auto"/>
            <w:left w:val="none" w:sz="0" w:space="0" w:color="auto"/>
            <w:bottom w:val="none" w:sz="0" w:space="0" w:color="auto"/>
            <w:right w:val="none" w:sz="0" w:space="0" w:color="auto"/>
          </w:divBdr>
          <w:divsChild>
            <w:div w:id="648703934">
              <w:marLeft w:val="0"/>
              <w:marRight w:val="0"/>
              <w:marTop w:val="0"/>
              <w:marBottom w:val="0"/>
              <w:divBdr>
                <w:top w:val="none" w:sz="0" w:space="0" w:color="auto"/>
                <w:left w:val="none" w:sz="0" w:space="0" w:color="auto"/>
                <w:bottom w:val="none" w:sz="0" w:space="0" w:color="auto"/>
                <w:right w:val="none" w:sz="0" w:space="0" w:color="auto"/>
              </w:divBdr>
              <w:divsChild>
                <w:div w:id="1070734869">
                  <w:marLeft w:val="0"/>
                  <w:marRight w:val="0"/>
                  <w:marTop w:val="0"/>
                  <w:marBottom w:val="0"/>
                  <w:divBdr>
                    <w:top w:val="none" w:sz="0" w:space="0" w:color="auto"/>
                    <w:left w:val="none" w:sz="0" w:space="0" w:color="auto"/>
                    <w:bottom w:val="none" w:sz="0" w:space="0" w:color="auto"/>
                    <w:right w:val="none" w:sz="0" w:space="0" w:color="auto"/>
                  </w:divBdr>
                  <w:divsChild>
                    <w:div w:id="3995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62581">
      <w:bodyDiv w:val="1"/>
      <w:marLeft w:val="0"/>
      <w:marRight w:val="0"/>
      <w:marTop w:val="0"/>
      <w:marBottom w:val="0"/>
      <w:divBdr>
        <w:top w:val="none" w:sz="0" w:space="0" w:color="auto"/>
        <w:left w:val="none" w:sz="0" w:space="0" w:color="auto"/>
        <w:bottom w:val="none" w:sz="0" w:space="0" w:color="auto"/>
        <w:right w:val="none" w:sz="0" w:space="0" w:color="auto"/>
      </w:divBdr>
      <w:divsChild>
        <w:div w:id="851258112">
          <w:marLeft w:val="0"/>
          <w:marRight w:val="0"/>
          <w:marTop w:val="0"/>
          <w:marBottom w:val="0"/>
          <w:divBdr>
            <w:top w:val="none" w:sz="0" w:space="0" w:color="auto"/>
            <w:left w:val="none" w:sz="0" w:space="0" w:color="auto"/>
            <w:bottom w:val="none" w:sz="0" w:space="0" w:color="auto"/>
            <w:right w:val="none" w:sz="0" w:space="0" w:color="auto"/>
          </w:divBdr>
        </w:div>
        <w:div w:id="1172136850">
          <w:marLeft w:val="0"/>
          <w:marRight w:val="0"/>
          <w:marTop w:val="0"/>
          <w:marBottom w:val="150"/>
          <w:divBdr>
            <w:top w:val="none" w:sz="0" w:space="0" w:color="auto"/>
            <w:left w:val="none" w:sz="0" w:space="0" w:color="auto"/>
            <w:bottom w:val="none" w:sz="0" w:space="0" w:color="auto"/>
            <w:right w:val="none" w:sz="0" w:space="0" w:color="auto"/>
          </w:divBdr>
          <w:divsChild>
            <w:div w:id="858080226">
              <w:marLeft w:val="0"/>
              <w:marRight w:val="0"/>
              <w:marTop w:val="0"/>
              <w:marBottom w:val="0"/>
              <w:divBdr>
                <w:top w:val="none" w:sz="0" w:space="0" w:color="auto"/>
                <w:left w:val="none" w:sz="0" w:space="0" w:color="auto"/>
                <w:bottom w:val="none" w:sz="0" w:space="0" w:color="auto"/>
                <w:right w:val="none" w:sz="0" w:space="0" w:color="auto"/>
              </w:divBdr>
            </w:div>
            <w:div w:id="1290160787">
              <w:marLeft w:val="0"/>
              <w:marRight w:val="0"/>
              <w:marTop w:val="0"/>
              <w:marBottom w:val="0"/>
              <w:divBdr>
                <w:top w:val="none" w:sz="0" w:space="0" w:color="auto"/>
                <w:left w:val="none" w:sz="0" w:space="0" w:color="auto"/>
                <w:bottom w:val="none" w:sz="0" w:space="0" w:color="auto"/>
                <w:right w:val="none" w:sz="0" w:space="0" w:color="auto"/>
              </w:divBdr>
            </w:div>
            <w:div w:id="1970279963">
              <w:marLeft w:val="0"/>
              <w:marRight w:val="0"/>
              <w:marTop w:val="0"/>
              <w:marBottom w:val="0"/>
              <w:divBdr>
                <w:top w:val="none" w:sz="0" w:space="0" w:color="auto"/>
                <w:left w:val="none" w:sz="0" w:space="0" w:color="auto"/>
                <w:bottom w:val="none" w:sz="0" w:space="0" w:color="auto"/>
                <w:right w:val="none" w:sz="0" w:space="0" w:color="auto"/>
              </w:divBdr>
            </w:div>
            <w:div w:id="2115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6172">
      <w:bodyDiv w:val="1"/>
      <w:marLeft w:val="0"/>
      <w:marRight w:val="0"/>
      <w:marTop w:val="0"/>
      <w:marBottom w:val="0"/>
      <w:divBdr>
        <w:top w:val="none" w:sz="0" w:space="0" w:color="auto"/>
        <w:left w:val="none" w:sz="0" w:space="0" w:color="auto"/>
        <w:bottom w:val="none" w:sz="0" w:space="0" w:color="auto"/>
        <w:right w:val="none" w:sz="0" w:space="0" w:color="auto"/>
      </w:divBdr>
      <w:divsChild>
        <w:div w:id="454325734">
          <w:marLeft w:val="0"/>
          <w:marRight w:val="0"/>
          <w:marTop w:val="0"/>
          <w:marBottom w:val="0"/>
          <w:divBdr>
            <w:top w:val="none" w:sz="0" w:space="0" w:color="auto"/>
            <w:left w:val="none" w:sz="0" w:space="0" w:color="auto"/>
            <w:bottom w:val="none" w:sz="0" w:space="0" w:color="auto"/>
            <w:right w:val="none" w:sz="0" w:space="0" w:color="auto"/>
          </w:divBdr>
          <w:divsChild>
            <w:div w:id="1500192892">
              <w:marLeft w:val="0"/>
              <w:marRight w:val="0"/>
              <w:marTop w:val="0"/>
              <w:marBottom w:val="0"/>
              <w:divBdr>
                <w:top w:val="none" w:sz="0" w:space="0" w:color="auto"/>
                <w:left w:val="none" w:sz="0" w:space="0" w:color="auto"/>
                <w:bottom w:val="none" w:sz="0" w:space="0" w:color="auto"/>
                <w:right w:val="none" w:sz="0" w:space="0" w:color="auto"/>
              </w:divBdr>
              <w:divsChild>
                <w:div w:id="47846864">
                  <w:marLeft w:val="0"/>
                  <w:marRight w:val="0"/>
                  <w:marTop w:val="0"/>
                  <w:marBottom w:val="0"/>
                  <w:divBdr>
                    <w:top w:val="none" w:sz="0" w:space="0" w:color="auto"/>
                    <w:left w:val="none" w:sz="0" w:space="0" w:color="auto"/>
                    <w:bottom w:val="none" w:sz="0" w:space="0" w:color="auto"/>
                    <w:right w:val="none" w:sz="0" w:space="0" w:color="auto"/>
                  </w:divBdr>
                </w:div>
              </w:divsChild>
            </w:div>
            <w:div w:id="167139457">
              <w:marLeft w:val="0"/>
              <w:marRight w:val="0"/>
              <w:marTop w:val="0"/>
              <w:marBottom w:val="0"/>
              <w:divBdr>
                <w:top w:val="none" w:sz="0" w:space="0" w:color="auto"/>
                <w:left w:val="none" w:sz="0" w:space="0" w:color="auto"/>
                <w:bottom w:val="none" w:sz="0" w:space="0" w:color="auto"/>
                <w:right w:val="none" w:sz="0" w:space="0" w:color="auto"/>
              </w:divBdr>
              <w:divsChild>
                <w:div w:id="1224565684">
                  <w:marLeft w:val="0"/>
                  <w:marRight w:val="0"/>
                  <w:marTop w:val="0"/>
                  <w:marBottom w:val="0"/>
                  <w:divBdr>
                    <w:top w:val="none" w:sz="0" w:space="0" w:color="auto"/>
                    <w:left w:val="none" w:sz="0" w:space="0" w:color="auto"/>
                    <w:bottom w:val="none" w:sz="0" w:space="0" w:color="auto"/>
                    <w:right w:val="none" w:sz="0" w:space="0" w:color="auto"/>
                  </w:divBdr>
                </w:div>
              </w:divsChild>
            </w:div>
            <w:div w:id="1383560105">
              <w:marLeft w:val="0"/>
              <w:marRight w:val="0"/>
              <w:marTop w:val="0"/>
              <w:marBottom w:val="0"/>
              <w:divBdr>
                <w:top w:val="none" w:sz="0" w:space="0" w:color="auto"/>
                <w:left w:val="none" w:sz="0" w:space="0" w:color="auto"/>
                <w:bottom w:val="none" w:sz="0" w:space="0" w:color="auto"/>
                <w:right w:val="none" w:sz="0" w:space="0" w:color="auto"/>
              </w:divBdr>
              <w:divsChild>
                <w:div w:id="1612391699">
                  <w:marLeft w:val="0"/>
                  <w:marRight w:val="0"/>
                  <w:marTop w:val="0"/>
                  <w:marBottom w:val="0"/>
                  <w:divBdr>
                    <w:top w:val="none" w:sz="0" w:space="0" w:color="auto"/>
                    <w:left w:val="none" w:sz="0" w:space="0" w:color="auto"/>
                    <w:bottom w:val="none" w:sz="0" w:space="0" w:color="auto"/>
                    <w:right w:val="none" w:sz="0" w:space="0" w:color="auto"/>
                  </w:divBdr>
                </w:div>
              </w:divsChild>
            </w:div>
            <w:div w:id="212087644">
              <w:marLeft w:val="0"/>
              <w:marRight w:val="0"/>
              <w:marTop w:val="0"/>
              <w:marBottom w:val="0"/>
              <w:divBdr>
                <w:top w:val="none" w:sz="0" w:space="0" w:color="auto"/>
                <w:left w:val="none" w:sz="0" w:space="0" w:color="auto"/>
                <w:bottom w:val="none" w:sz="0" w:space="0" w:color="auto"/>
                <w:right w:val="none" w:sz="0" w:space="0" w:color="auto"/>
              </w:divBdr>
              <w:divsChild>
                <w:div w:id="843324305">
                  <w:marLeft w:val="0"/>
                  <w:marRight w:val="0"/>
                  <w:marTop w:val="0"/>
                  <w:marBottom w:val="0"/>
                  <w:divBdr>
                    <w:top w:val="none" w:sz="0" w:space="0" w:color="auto"/>
                    <w:left w:val="none" w:sz="0" w:space="0" w:color="auto"/>
                    <w:bottom w:val="none" w:sz="0" w:space="0" w:color="auto"/>
                    <w:right w:val="none" w:sz="0" w:space="0" w:color="auto"/>
                  </w:divBdr>
                </w:div>
              </w:divsChild>
            </w:div>
            <w:div w:id="182599101">
              <w:marLeft w:val="0"/>
              <w:marRight w:val="0"/>
              <w:marTop w:val="0"/>
              <w:marBottom w:val="0"/>
              <w:divBdr>
                <w:top w:val="none" w:sz="0" w:space="0" w:color="auto"/>
                <w:left w:val="none" w:sz="0" w:space="0" w:color="auto"/>
                <w:bottom w:val="none" w:sz="0" w:space="0" w:color="auto"/>
                <w:right w:val="none" w:sz="0" w:space="0" w:color="auto"/>
              </w:divBdr>
              <w:divsChild>
                <w:div w:id="931008360">
                  <w:marLeft w:val="0"/>
                  <w:marRight w:val="0"/>
                  <w:marTop w:val="0"/>
                  <w:marBottom w:val="0"/>
                  <w:divBdr>
                    <w:top w:val="none" w:sz="0" w:space="0" w:color="auto"/>
                    <w:left w:val="none" w:sz="0" w:space="0" w:color="auto"/>
                    <w:bottom w:val="none" w:sz="0" w:space="0" w:color="auto"/>
                    <w:right w:val="none" w:sz="0" w:space="0" w:color="auto"/>
                  </w:divBdr>
                </w:div>
              </w:divsChild>
            </w:div>
            <w:div w:id="576717372">
              <w:marLeft w:val="0"/>
              <w:marRight w:val="0"/>
              <w:marTop w:val="0"/>
              <w:marBottom w:val="0"/>
              <w:divBdr>
                <w:top w:val="none" w:sz="0" w:space="0" w:color="auto"/>
                <w:left w:val="none" w:sz="0" w:space="0" w:color="auto"/>
                <w:bottom w:val="none" w:sz="0" w:space="0" w:color="auto"/>
                <w:right w:val="none" w:sz="0" w:space="0" w:color="auto"/>
              </w:divBdr>
              <w:divsChild>
                <w:div w:id="132597382">
                  <w:marLeft w:val="0"/>
                  <w:marRight w:val="0"/>
                  <w:marTop w:val="0"/>
                  <w:marBottom w:val="0"/>
                  <w:divBdr>
                    <w:top w:val="none" w:sz="0" w:space="0" w:color="auto"/>
                    <w:left w:val="none" w:sz="0" w:space="0" w:color="auto"/>
                    <w:bottom w:val="none" w:sz="0" w:space="0" w:color="auto"/>
                    <w:right w:val="none" w:sz="0" w:space="0" w:color="auto"/>
                  </w:divBdr>
                </w:div>
              </w:divsChild>
            </w:div>
            <w:div w:id="574896503">
              <w:marLeft w:val="0"/>
              <w:marRight w:val="0"/>
              <w:marTop w:val="0"/>
              <w:marBottom w:val="0"/>
              <w:divBdr>
                <w:top w:val="none" w:sz="0" w:space="0" w:color="auto"/>
                <w:left w:val="none" w:sz="0" w:space="0" w:color="auto"/>
                <w:bottom w:val="none" w:sz="0" w:space="0" w:color="auto"/>
                <w:right w:val="none" w:sz="0" w:space="0" w:color="auto"/>
              </w:divBdr>
              <w:divsChild>
                <w:div w:id="11491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89908">
      <w:bodyDiv w:val="1"/>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sChild>
            <w:div w:id="710375569">
              <w:marLeft w:val="0"/>
              <w:marRight w:val="0"/>
              <w:marTop w:val="0"/>
              <w:marBottom w:val="0"/>
              <w:divBdr>
                <w:top w:val="none" w:sz="0" w:space="0" w:color="auto"/>
                <w:left w:val="none" w:sz="0" w:space="0" w:color="auto"/>
                <w:bottom w:val="none" w:sz="0" w:space="0" w:color="auto"/>
                <w:right w:val="none" w:sz="0" w:space="0" w:color="auto"/>
              </w:divBdr>
              <w:divsChild>
                <w:div w:id="16348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8967">
      <w:bodyDiv w:val="1"/>
      <w:marLeft w:val="0"/>
      <w:marRight w:val="0"/>
      <w:marTop w:val="0"/>
      <w:marBottom w:val="0"/>
      <w:divBdr>
        <w:top w:val="none" w:sz="0" w:space="0" w:color="auto"/>
        <w:left w:val="none" w:sz="0" w:space="0" w:color="auto"/>
        <w:bottom w:val="none" w:sz="0" w:space="0" w:color="auto"/>
        <w:right w:val="none" w:sz="0" w:space="0" w:color="auto"/>
      </w:divBdr>
    </w:div>
    <w:div w:id="1127626575">
      <w:bodyDiv w:val="1"/>
      <w:marLeft w:val="0"/>
      <w:marRight w:val="0"/>
      <w:marTop w:val="0"/>
      <w:marBottom w:val="0"/>
      <w:divBdr>
        <w:top w:val="none" w:sz="0" w:space="0" w:color="auto"/>
        <w:left w:val="none" w:sz="0" w:space="0" w:color="auto"/>
        <w:bottom w:val="none" w:sz="0" w:space="0" w:color="auto"/>
        <w:right w:val="none" w:sz="0" w:space="0" w:color="auto"/>
      </w:divBdr>
      <w:divsChild>
        <w:div w:id="1481966143">
          <w:marLeft w:val="0"/>
          <w:marRight w:val="0"/>
          <w:marTop w:val="0"/>
          <w:marBottom w:val="0"/>
          <w:divBdr>
            <w:top w:val="none" w:sz="0" w:space="0" w:color="auto"/>
            <w:left w:val="none" w:sz="0" w:space="0" w:color="auto"/>
            <w:bottom w:val="none" w:sz="0" w:space="0" w:color="auto"/>
            <w:right w:val="none" w:sz="0" w:space="0" w:color="auto"/>
          </w:divBdr>
          <w:divsChild>
            <w:div w:id="1673679666">
              <w:marLeft w:val="0"/>
              <w:marRight w:val="0"/>
              <w:marTop w:val="0"/>
              <w:marBottom w:val="0"/>
              <w:divBdr>
                <w:top w:val="none" w:sz="0" w:space="0" w:color="auto"/>
                <w:left w:val="none" w:sz="0" w:space="0" w:color="auto"/>
                <w:bottom w:val="none" w:sz="0" w:space="0" w:color="auto"/>
                <w:right w:val="none" w:sz="0" w:space="0" w:color="auto"/>
              </w:divBdr>
              <w:divsChild>
                <w:div w:id="643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4494">
      <w:bodyDiv w:val="1"/>
      <w:marLeft w:val="0"/>
      <w:marRight w:val="0"/>
      <w:marTop w:val="0"/>
      <w:marBottom w:val="0"/>
      <w:divBdr>
        <w:top w:val="none" w:sz="0" w:space="0" w:color="auto"/>
        <w:left w:val="none" w:sz="0" w:space="0" w:color="auto"/>
        <w:bottom w:val="none" w:sz="0" w:space="0" w:color="auto"/>
        <w:right w:val="none" w:sz="0" w:space="0" w:color="auto"/>
      </w:divBdr>
      <w:divsChild>
        <w:div w:id="1616591841">
          <w:marLeft w:val="0"/>
          <w:marRight w:val="0"/>
          <w:marTop w:val="0"/>
          <w:marBottom w:val="0"/>
          <w:divBdr>
            <w:top w:val="none" w:sz="0" w:space="0" w:color="auto"/>
            <w:left w:val="none" w:sz="0" w:space="0" w:color="auto"/>
            <w:bottom w:val="none" w:sz="0" w:space="0" w:color="auto"/>
            <w:right w:val="none" w:sz="0" w:space="0" w:color="auto"/>
          </w:divBdr>
          <w:divsChild>
            <w:div w:id="811561321">
              <w:marLeft w:val="0"/>
              <w:marRight w:val="0"/>
              <w:marTop w:val="0"/>
              <w:marBottom w:val="0"/>
              <w:divBdr>
                <w:top w:val="none" w:sz="0" w:space="0" w:color="auto"/>
                <w:left w:val="none" w:sz="0" w:space="0" w:color="auto"/>
                <w:bottom w:val="none" w:sz="0" w:space="0" w:color="auto"/>
                <w:right w:val="none" w:sz="0" w:space="0" w:color="auto"/>
              </w:divBdr>
              <w:divsChild>
                <w:div w:id="178928676">
                  <w:marLeft w:val="0"/>
                  <w:marRight w:val="0"/>
                  <w:marTop w:val="0"/>
                  <w:marBottom w:val="0"/>
                  <w:divBdr>
                    <w:top w:val="none" w:sz="0" w:space="0" w:color="auto"/>
                    <w:left w:val="none" w:sz="0" w:space="0" w:color="auto"/>
                    <w:bottom w:val="none" w:sz="0" w:space="0" w:color="auto"/>
                    <w:right w:val="none" w:sz="0" w:space="0" w:color="auto"/>
                  </w:divBdr>
                  <w:divsChild>
                    <w:div w:id="357971965">
                      <w:marLeft w:val="0"/>
                      <w:marRight w:val="0"/>
                      <w:marTop w:val="0"/>
                      <w:marBottom w:val="0"/>
                      <w:divBdr>
                        <w:top w:val="none" w:sz="0" w:space="0" w:color="auto"/>
                        <w:left w:val="none" w:sz="0" w:space="0" w:color="auto"/>
                        <w:bottom w:val="none" w:sz="0" w:space="0" w:color="auto"/>
                        <w:right w:val="none" w:sz="0" w:space="0" w:color="auto"/>
                      </w:divBdr>
                    </w:div>
                  </w:divsChild>
                </w:div>
                <w:div w:id="1976138768">
                  <w:marLeft w:val="0"/>
                  <w:marRight w:val="0"/>
                  <w:marTop w:val="0"/>
                  <w:marBottom w:val="0"/>
                  <w:divBdr>
                    <w:top w:val="none" w:sz="0" w:space="0" w:color="auto"/>
                    <w:left w:val="none" w:sz="0" w:space="0" w:color="auto"/>
                    <w:bottom w:val="none" w:sz="0" w:space="0" w:color="auto"/>
                    <w:right w:val="none" w:sz="0" w:space="0" w:color="auto"/>
                  </w:divBdr>
                  <w:divsChild>
                    <w:div w:id="968823839">
                      <w:marLeft w:val="0"/>
                      <w:marRight w:val="0"/>
                      <w:marTop w:val="0"/>
                      <w:marBottom w:val="0"/>
                      <w:divBdr>
                        <w:top w:val="none" w:sz="0" w:space="0" w:color="auto"/>
                        <w:left w:val="none" w:sz="0" w:space="0" w:color="auto"/>
                        <w:bottom w:val="none" w:sz="0" w:space="0" w:color="auto"/>
                        <w:right w:val="none" w:sz="0" w:space="0" w:color="auto"/>
                      </w:divBdr>
                    </w:div>
                  </w:divsChild>
                </w:div>
                <w:div w:id="1555115664">
                  <w:marLeft w:val="0"/>
                  <w:marRight w:val="0"/>
                  <w:marTop w:val="0"/>
                  <w:marBottom w:val="0"/>
                  <w:divBdr>
                    <w:top w:val="none" w:sz="0" w:space="0" w:color="auto"/>
                    <w:left w:val="none" w:sz="0" w:space="0" w:color="auto"/>
                    <w:bottom w:val="none" w:sz="0" w:space="0" w:color="auto"/>
                    <w:right w:val="none" w:sz="0" w:space="0" w:color="auto"/>
                  </w:divBdr>
                  <w:divsChild>
                    <w:div w:id="563564235">
                      <w:marLeft w:val="0"/>
                      <w:marRight w:val="0"/>
                      <w:marTop w:val="0"/>
                      <w:marBottom w:val="0"/>
                      <w:divBdr>
                        <w:top w:val="none" w:sz="0" w:space="0" w:color="auto"/>
                        <w:left w:val="none" w:sz="0" w:space="0" w:color="auto"/>
                        <w:bottom w:val="none" w:sz="0" w:space="0" w:color="auto"/>
                        <w:right w:val="none" w:sz="0" w:space="0" w:color="auto"/>
                      </w:divBdr>
                    </w:div>
                  </w:divsChild>
                </w:div>
                <w:div w:id="65302754">
                  <w:marLeft w:val="0"/>
                  <w:marRight w:val="0"/>
                  <w:marTop w:val="0"/>
                  <w:marBottom w:val="0"/>
                  <w:divBdr>
                    <w:top w:val="none" w:sz="0" w:space="0" w:color="auto"/>
                    <w:left w:val="none" w:sz="0" w:space="0" w:color="auto"/>
                    <w:bottom w:val="none" w:sz="0" w:space="0" w:color="auto"/>
                    <w:right w:val="none" w:sz="0" w:space="0" w:color="auto"/>
                  </w:divBdr>
                  <w:divsChild>
                    <w:div w:id="1922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29688">
              <w:marLeft w:val="0"/>
              <w:marRight w:val="0"/>
              <w:marTop w:val="0"/>
              <w:marBottom w:val="0"/>
              <w:divBdr>
                <w:top w:val="none" w:sz="0" w:space="0" w:color="auto"/>
                <w:left w:val="none" w:sz="0" w:space="0" w:color="auto"/>
                <w:bottom w:val="none" w:sz="0" w:space="0" w:color="auto"/>
                <w:right w:val="none" w:sz="0" w:space="0" w:color="auto"/>
              </w:divBdr>
              <w:divsChild>
                <w:div w:id="747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79150">
      <w:bodyDiv w:val="1"/>
      <w:marLeft w:val="0"/>
      <w:marRight w:val="0"/>
      <w:marTop w:val="0"/>
      <w:marBottom w:val="0"/>
      <w:divBdr>
        <w:top w:val="none" w:sz="0" w:space="0" w:color="auto"/>
        <w:left w:val="none" w:sz="0" w:space="0" w:color="auto"/>
        <w:bottom w:val="none" w:sz="0" w:space="0" w:color="auto"/>
        <w:right w:val="none" w:sz="0" w:space="0" w:color="auto"/>
      </w:divBdr>
    </w:div>
    <w:div w:id="1481727022">
      <w:bodyDiv w:val="1"/>
      <w:marLeft w:val="0"/>
      <w:marRight w:val="0"/>
      <w:marTop w:val="0"/>
      <w:marBottom w:val="0"/>
      <w:divBdr>
        <w:top w:val="none" w:sz="0" w:space="0" w:color="auto"/>
        <w:left w:val="none" w:sz="0" w:space="0" w:color="auto"/>
        <w:bottom w:val="none" w:sz="0" w:space="0" w:color="auto"/>
        <w:right w:val="none" w:sz="0" w:space="0" w:color="auto"/>
      </w:divBdr>
      <w:divsChild>
        <w:div w:id="551499744">
          <w:marLeft w:val="0"/>
          <w:marRight w:val="0"/>
          <w:marTop w:val="0"/>
          <w:marBottom w:val="0"/>
          <w:divBdr>
            <w:top w:val="none" w:sz="0" w:space="0" w:color="auto"/>
            <w:left w:val="none" w:sz="0" w:space="0" w:color="auto"/>
            <w:bottom w:val="none" w:sz="0" w:space="0" w:color="auto"/>
            <w:right w:val="none" w:sz="0" w:space="0" w:color="auto"/>
          </w:divBdr>
          <w:divsChild>
            <w:div w:id="31929175">
              <w:marLeft w:val="0"/>
              <w:marRight w:val="0"/>
              <w:marTop w:val="0"/>
              <w:marBottom w:val="0"/>
              <w:divBdr>
                <w:top w:val="none" w:sz="0" w:space="0" w:color="auto"/>
                <w:left w:val="none" w:sz="0" w:space="0" w:color="auto"/>
                <w:bottom w:val="none" w:sz="0" w:space="0" w:color="auto"/>
                <w:right w:val="none" w:sz="0" w:space="0" w:color="auto"/>
              </w:divBdr>
              <w:divsChild>
                <w:div w:id="18426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0221">
          <w:marLeft w:val="0"/>
          <w:marRight w:val="0"/>
          <w:marTop w:val="0"/>
          <w:marBottom w:val="0"/>
          <w:divBdr>
            <w:top w:val="none" w:sz="0" w:space="0" w:color="auto"/>
            <w:left w:val="none" w:sz="0" w:space="0" w:color="auto"/>
            <w:bottom w:val="none" w:sz="0" w:space="0" w:color="auto"/>
            <w:right w:val="none" w:sz="0" w:space="0" w:color="auto"/>
          </w:divBdr>
          <w:divsChild>
            <w:div w:id="1969316440">
              <w:marLeft w:val="0"/>
              <w:marRight w:val="0"/>
              <w:marTop w:val="0"/>
              <w:marBottom w:val="0"/>
              <w:divBdr>
                <w:top w:val="none" w:sz="0" w:space="0" w:color="auto"/>
                <w:left w:val="none" w:sz="0" w:space="0" w:color="auto"/>
                <w:bottom w:val="none" w:sz="0" w:space="0" w:color="auto"/>
                <w:right w:val="none" w:sz="0" w:space="0" w:color="auto"/>
              </w:divBdr>
              <w:divsChild>
                <w:div w:id="41978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8820">
      <w:bodyDiv w:val="1"/>
      <w:marLeft w:val="0"/>
      <w:marRight w:val="0"/>
      <w:marTop w:val="0"/>
      <w:marBottom w:val="0"/>
      <w:divBdr>
        <w:top w:val="none" w:sz="0" w:space="0" w:color="auto"/>
        <w:left w:val="none" w:sz="0" w:space="0" w:color="auto"/>
        <w:bottom w:val="none" w:sz="0" w:space="0" w:color="auto"/>
        <w:right w:val="none" w:sz="0" w:space="0" w:color="auto"/>
      </w:divBdr>
      <w:divsChild>
        <w:div w:id="1689019154">
          <w:marLeft w:val="0"/>
          <w:marRight w:val="0"/>
          <w:marTop w:val="0"/>
          <w:marBottom w:val="0"/>
          <w:divBdr>
            <w:top w:val="none" w:sz="0" w:space="0" w:color="auto"/>
            <w:left w:val="none" w:sz="0" w:space="0" w:color="auto"/>
            <w:bottom w:val="none" w:sz="0" w:space="0" w:color="auto"/>
            <w:right w:val="none" w:sz="0" w:space="0" w:color="auto"/>
          </w:divBdr>
          <w:divsChild>
            <w:div w:id="1743062489">
              <w:marLeft w:val="0"/>
              <w:marRight w:val="0"/>
              <w:marTop w:val="0"/>
              <w:marBottom w:val="0"/>
              <w:divBdr>
                <w:top w:val="none" w:sz="0" w:space="0" w:color="auto"/>
                <w:left w:val="none" w:sz="0" w:space="0" w:color="auto"/>
                <w:bottom w:val="none" w:sz="0" w:space="0" w:color="auto"/>
                <w:right w:val="none" w:sz="0" w:space="0" w:color="auto"/>
              </w:divBdr>
              <w:divsChild>
                <w:div w:id="18257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9870">
          <w:marLeft w:val="0"/>
          <w:marRight w:val="0"/>
          <w:marTop w:val="0"/>
          <w:marBottom w:val="0"/>
          <w:divBdr>
            <w:top w:val="none" w:sz="0" w:space="0" w:color="auto"/>
            <w:left w:val="none" w:sz="0" w:space="0" w:color="auto"/>
            <w:bottom w:val="none" w:sz="0" w:space="0" w:color="auto"/>
            <w:right w:val="none" w:sz="0" w:space="0" w:color="auto"/>
          </w:divBdr>
          <w:divsChild>
            <w:div w:id="1080566838">
              <w:marLeft w:val="0"/>
              <w:marRight w:val="0"/>
              <w:marTop w:val="0"/>
              <w:marBottom w:val="0"/>
              <w:divBdr>
                <w:top w:val="none" w:sz="0" w:space="0" w:color="auto"/>
                <w:left w:val="none" w:sz="0" w:space="0" w:color="auto"/>
                <w:bottom w:val="none" w:sz="0" w:space="0" w:color="auto"/>
                <w:right w:val="none" w:sz="0" w:space="0" w:color="auto"/>
              </w:divBdr>
              <w:divsChild>
                <w:div w:id="11671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41319">
      <w:bodyDiv w:val="1"/>
      <w:marLeft w:val="0"/>
      <w:marRight w:val="0"/>
      <w:marTop w:val="0"/>
      <w:marBottom w:val="0"/>
      <w:divBdr>
        <w:top w:val="none" w:sz="0" w:space="0" w:color="auto"/>
        <w:left w:val="none" w:sz="0" w:space="0" w:color="auto"/>
        <w:bottom w:val="none" w:sz="0" w:space="0" w:color="auto"/>
        <w:right w:val="none" w:sz="0" w:space="0" w:color="auto"/>
      </w:divBdr>
    </w:div>
    <w:div w:id="1732732623">
      <w:bodyDiv w:val="1"/>
      <w:marLeft w:val="0"/>
      <w:marRight w:val="0"/>
      <w:marTop w:val="0"/>
      <w:marBottom w:val="0"/>
      <w:divBdr>
        <w:top w:val="none" w:sz="0" w:space="0" w:color="auto"/>
        <w:left w:val="none" w:sz="0" w:space="0" w:color="auto"/>
        <w:bottom w:val="none" w:sz="0" w:space="0" w:color="auto"/>
        <w:right w:val="none" w:sz="0" w:space="0" w:color="auto"/>
      </w:divBdr>
    </w:div>
    <w:div w:id="1810901044">
      <w:bodyDiv w:val="1"/>
      <w:marLeft w:val="0"/>
      <w:marRight w:val="0"/>
      <w:marTop w:val="0"/>
      <w:marBottom w:val="0"/>
      <w:divBdr>
        <w:top w:val="none" w:sz="0" w:space="0" w:color="auto"/>
        <w:left w:val="none" w:sz="0" w:space="0" w:color="auto"/>
        <w:bottom w:val="none" w:sz="0" w:space="0" w:color="auto"/>
        <w:right w:val="none" w:sz="0" w:space="0" w:color="auto"/>
      </w:divBdr>
      <w:divsChild>
        <w:div w:id="1597131097">
          <w:marLeft w:val="0"/>
          <w:marRight w:val="0"/>
          <w:marTop w:val="0"/>
          <w:marBottom w:val="0"/>
          <w:divBdr>
            <w:top w:val="none" w:sz="0" w:space="0" w:color="auto"/>
            <w:left w:val="none" w:sz="0" w:space="0" w:color="auto"/>
            <w:bottom w:val="none" w:sz="0" w:space="0" w:color="auto"/>
            <w:right w:val="none" w:sz="0" w:space="0" w:color="auto"/>
          </w:divBdr>
          <w:divsChild>
            <w:div w:id="1408261155">
              <w:marLeft w:val="0"/>
              <w:marRight w:val="0"/>
              <w:marTop w:val="0"/>
              <w:marBottom w:val="0"/>
              <w:divBdr>
                <w:top w:val="none" w:sz="0" w:space="0" w:color="auto"/>
                <w:left w:val="none" w:sz="0" w:space="0" w:color="auto"/>
                <w:bottom w:val="none" w:sz="0" w:space="0" w:color="auto"/>
                <w:right w:val="none" w:sz="0" w:space="0" w:color="auto"/>
              </w:divBdr>
              <w:divsChild>
                <w:div w:id="12733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5602">
      <w:bodyDiv w:val="1"/>
      <w:marLeft w:val="0"/>
      <w:marRight w:val="0"/>
      <w:marTop w:val="0"/>
      <w:marBottom w:val="0"/>
      <w:divBdr>
        <w:top w:val="none" w:sz="0" w:space="0" w:color="auto"/>
        <w:left w:val="none" w:sz="0" w:space="0" w:color="auto"/>
        <w:bottom w:val="none" w:sz="0" w:space="0" w:color="auto"/>
        <w:right w:val="none" w:sz="0" w:space="0" w:color="auto"/>
      </w:divBdr>
      <w:divsChild>
        <w:div w:id="1906185190">
          <w:marLeft w:val="0"/>
          <w:marRight w:val="0"/>
          <w:marTop w:val="0"/>
          <w:marBottom w:val="0"/>
          <w:divBdr>
            <w:top w:val="none" w:sz="0" w:space="0" w:color="auto"/>
            <w:left w:val="none" w:sz="0" w:space="0" w:color="auto"/>
            <w:bottom w:val="none" w:sz="0" w:space="0" w:color="auto"/>
            <w:right w:val="none" w:sz="0" w:space="0" w:color="auto"/>
          </w:divBdr>
          <w:divsChild>
            <w:div w:id="587345699">
              <w:marLeft w:val="0"/>
              <w:marRight w:val="0"/>
              <w:marTop w:val="0"/>
              <w:marBottom w:val="0"/>
              <w:divBdr>
                <w:top w:val="none" w:sz="0" w:space="0" w:color="auto"/>
                <w:left w:val="none" w:sz="0" w:space="0" w:color="auto"/>
                <w:bottom w:val="none" w:sz="0" w:space="0" w:color="auto"/>
                <w:right w:val="none" w:sz="0" w:space="0" w:color="auto"/>
              </w:divBdr>
              <w:divsChild>
                <w:div w:id="1240403322">
                  <w:marLeft w:val="0"/>
                  <w:marRight w:val="0"/>
                  <w:marTop w:val="0"/>
                  <w:marBottom w:val="0"/>
                  <w:divBdr>
                    <w:top w:val="none" w:sz="0" w:space="0" w:color="auto"/>
                    <w:left w:val="none" w:sz="0" w:space="0" w:color="auto"/>
                    <w:bottom w:val="none" w:sz="0" w:space="0" w:color="auto"/>
                    <w:right w:val="none" w:sz="0" w:space="0" w:color="auto"/>
                  </w:divBdr>
                  <w:divsChild>
                    <w:div w:id="623854682">
                      <w:marLeft w:val="0"/>
                      <w:marRight w:val="0"/>
                      <w:marTop w:val="0"/>
                      <w:marBottom w:val="0"/>
                      <w:divBdr>
                        <w:top w:val="none" w:sz="0" w:space="0" w:color="auto"/>
                        <w:left w:val="none" w:sz="0" w:space="0" w:color="auto"/>
                        <w:bottom w:val="none" w:sz="0" w:space="0" w:color="auto"/>
                        <w:right w:val="none" w:sz="0" w:space="0" w:color="auto"/>
                      </w:divBdr>
                    </w:div>
                  </w:divsChild>
                </w:div>
                <w:div w:id="1941451438">
                  <w:marLeft w:val="0"/>
                  <w:marRight w:val="0"/>
                  <w:marTop w:val="0"/>
                  <w:marBottom w:val="0"/>
                  <w:divBdr>
                    <w:top w:val="none" w:sz="0" w:space="0" w:color="auto"/>
                    <w:left w:val="none" w:sz="0" w:space="0" w:color="auto"/>
                    <w:bottom w:val="none" w:sz="0" w:space="0" w:color="auto"/>
                    <w:right w:val="none" w:sz="0" w:space="0" w:color="auto"/>
                  </w:divBdr>
                  <w:divsChild>
                    <w:div w:id="436021164">
                      <w:marLeft w:val="0"/>
                      <w:marRight w:val="0"/>
                      <w:marTop w:val="0"/>
                      <w:marBottom w:val="0"/>
                      <w:divBdr>
                        <w:top w:val="none" w:sz="0" w:space="0" w:color="auto"/>
                        <w:left w:val="none" w:sz="0" w:space="0" w:color="auto"/>
                        <w:bottom w:val="none" w:sz="0" w:space="0" w:color="auto"/>
                        <w:right w:val="none" w:sz="0" w:space="0" w:color="auto"/>
                      </w:divBdr>
                    </w:div>
                  </w:divsChild>
                </w:div>
                <w:div w:id="1978221427">
                  <w:marLeft w:val="0"/>
                  <w:marRight w:val="0"/>
                  <w:marTop w:val="0"/>
                  <w:marBottom w:val="0"/>
                  <w:divBdr>
                    <w:top w:val="none" w:sz="0" w:space="0" w:color="auto"/>
                    <w:left w:val="none" w:sz="0" w:space="0" w:color="auto"/>
                    <w:bottom w:val="none" w:sz="0" w:space="0" w:color="auto"/>
                    <w:right w:val="none" w:sz="0" w:space="0" w:color="auto"/>
                  </w:divBdr>
                  <w:divsChild>
                    <w:div w:id="1693989295">
                      <w:marLeft w:val="0"/>
                      <w:marRight w:val="0"/>
                      <w:marTop w:val="0"/>
                      <w:marBottom w:val="0"/>
                      <w:divBdr>
                        <w:top w:val="none" w:sz="0" w:space="0" w:color="auto"/>
                        <w:left w:val="none" w:sz="0" w:space="0" w:color="auto"/>
                        <w:bottom w:val="none" w:sz="0" w:space="0" w:color="auto"/>
                        <w:right w:val="none" w:sz="0" w:space="0" w:color="auto"/>
                      </w:divBdr>
                    </w:div>
                  </w:divsChild>
                </w:div>
                <w:div w:id="2088501345">
                  <w:marLeft w:val="0"/>
                  <w:marRight w:val="0"/>
                  <w:marTop w:val="0"/>
                  <w:marBottom w:val="0"/>
                  <w:divBdr>
                    <w:top w:val="none" w:sz="0" w:space="0" w:color="auto"/>
                    <w:left w:val="none" w:sz="0" w:space="0" w:color="auto"/>
                    <w:bottom w:val="none" w:sz="0" w:space="0" w:color="auto"/>
                    <w:right w:val="none" w:sz="0" w:space="0" w:color="auto"/>
                  </w:divBdr>
                  <w:divsChild>
                    <w:div w:id="593711203">
                      <w:marLeft w:val="0"/>
                      <w:marRight w:val="0"/>
                      <w:marTop w:val="0"/>
                      <w:marBottom w:val="0"/>
                      <w:divBdr>
                        <w:top w:val="none" w:sz="0" w:space="0" w:color="auto"/>
                        <w:left w:val="none" w:sz="0" w:space="0" w:color="auto"/>
                        <w:bottom w:val="none" w:sz="0" w:space="0" w:color="auto"/>
                        <w:right w:val="none" w:sz="0" w:space="0" w:color="auto"/>
                      </w:divBdr>
                    </w:div>
                  </w:divsChild>
                </w:div>
                <w:div w:id="1418792877">
                  <w:marLeft w:val="0"/>
                  <w:marRight w:val="0"/>
                  <w:marTop w:val="0"/>
                  <w:marBottom w:val="0"/>
                  <w:divBdr>
                    <w:top w:val="none" w:sz="0" w:space="0" w:color="auto"/>
                    <w:left w:val="none" w:sz="0" w:space="0" w:color="auto"/>
                    <w:bottom w:val="none" w:sz="0" w:space="0" w:color="auto"/>
                    <w:right w:val="none" w:sz="0" w:space="0" w:color="auto"/>
                  </w:divBdr>
                  <w:divsChild>
                    <w:div w:id="573667909">
                      <w:marLeft w:val="0"/>
                      <w:marRight w:val="0"/>
                      <w:marTop w:val="0"/>
                      <w:marBottom w:val="0"/>
                      <w:divBdr>
                        <w:top w:val="none" w:sz="0" w:space="0" w:color="auto"/>
                        <w:left w:val="none" w:sz="0" w:space="0" w:color="auto"/>
                        <w:bottom w:val="none" w:sz="0" w:space="0" w:color="auto"/>
                        <w:right w:val="none" w:sz="0" w:space="0" w:color="auto"/>
                      </w:divBdr>
                    </w:div>
                  </w:divsChild>
                </w:div>
                <w:div w:id="155998992">
                  <w:marLeft w:val="0"/>
                  <w:marRight w:val="0"/>
                  <w:marTop w:val="0"/>
                  <w:marBottom w:val="0"/>
                  <w:divBdr>
                    <w:top w:val="none" w:sz="0" w:space="0" w:color="auto"/>
                    <w:left w:val="none" w:sz="0" w:space="0" w:color="auto"/>
                    <w:bottom w:val="none" w:sz="0" w:space="0" w:color="auto"/>
                    <w:right w:val="none" w:sz="0" w:space="0" w:color="auto"/>
                  </w:divBdr>
                  <w:divsChild>
                    <w:div w:id="1913618314">
                      <w:marLeft w:val="0"/>
                      <w:marRight w:val="0"/>
                      <w:marTop w:val="0"/>
                      <w:marBottom w:val="0"/>
                      <w:divBdr>
                        <w:top w:val="none" w:sz="0" w:space="0" w:color="auto"/>
                        <w:left w:val="none" w:sz="0" w:space="0" w:color="auto"/>
                        <w:bottom w:val="none" w:sz="0" w:space="0" w:color="auto"/>
                        <w:right w:val="none" w:sz="0" w:space="0" w:color="auto"/>
                      </w:divBdr>
                    </w:div>
                  </w:divsChild>
                </w:div>
                <w:div w:id="473909374">
                  <w:marLeft w:val="0"/>
                  <w:marRight w:val="0"/>
                  <w:marTop w:val="0"/>
                  <w:marBottom w:val="0"/>
                  <w:divBdr>
                    <w:top w:val="none" w:sz="0" w:space="0" w:color="auto"/>
                    <w:left w:val="none" w:sz="0" w:space="0" w:color="auto"/>
                    <w:bottom w:val="none" w:sz="0" w:space="0" w:color="auto"/>
                    <w:right w:val="none" w:sz="0" w:space="0" w:color="auto"/>
                  </w:divBdr>
                  <w:divsChild>
                    <w:div w:id="4058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166">
              <w:marLeft w:val="0"/>
              <w:marRight w:val="0"/>
              <w:marTop w:val="0"/>
              <w:marBottom w:val="0"/>
              <w:divBdr>
                <w:top w:val="none" w:sz="0" w:space="0" w:color="auto"/>
                <w:left w:val="none" w:sz="0" w:space="0" w:color="auto"/>
                <w:bottom w:val="none" w:sz="0" w:space="0" w:color="auto"/>
                <w:right w:val="none" w:sz="0" w:space="0" w:color="auto"/>
              </w:divBdr>
              <w:divsChild>
                <w:div w:id="156070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74813">
      <w:bodyDiv w:val="1"/>
      <w:marLeft w:val="0"/>
      <w:marRight w:val="0"/>
      <w:marTop w:val="0"/>
      <w:marBottom w:val="0"/>
      <w:divBdr>
        <w:top w:val="none" w:sz="0" w:space="0" w:color="auto"/>
        <w:left w:val="none" w:sz="0" w:space="0" w:color="auto"/>
        <w:bottom w:val="none" w:sz="0" w:space="0" w:color="auto"/>
        <w:right w:val="none" w:sz="0" w:space="0" w:color="auto"/>
      </w:divBdr>
      <w:divsChild>
        <w:div w:id="1527521969">
          <w:marLeft w:val="0"/>
          <w:marRight w:val="0"/>
          <w:marTop w:val="0"/>
          <w:marBottom w:val="0"/>
          <w:divBdr>
            <w:top w:val="none" w:sz="0" w:space="0" w:color="auto"/>
            <w:left w:val="none" w:sz="0" w:space="0" w:color="auto"/>
            <w:bottom w:val="none" w:sz="0" w:space="0" w:color="auto"/>
            <w:right w:val="none" w:sz="0" w:space="0" w:color="auto"/>
          </w:divBdr>
          <w:divsChild>
            <w:div w:id="1265767341">
              <w:marLeft w:val="0"/>
              <w:marRight w:val="0"/>
              <w:marTop w:val="0"/>
              <w:marBottom w:val="0"/>
              <w:divBdr>
                <w:top w:val="none" w:sz="0" w:space="0" w:color="auto"/>
                <w:left w:val="none" w:sz="0" w:space="0" w:color="auto"/>
                <w:bottom w:val="none" w:sz="0" w:space="0" w:color="auto"/>
                <w:right w:val="none" w:sz="0" w:space="0" w:color="auto"/>
              </w:divBdr>
              <w:divsChild>
                <w:div w:id="781337323">
                  <w:marLeft w:val="0"/>
                  <w:marRight w:val="0"/>
                  <w:marTop w:val="0"/>
                  <w:marBottom w:val="0"/>
                  <w:divBdr>
                    <w:top w:val="none" w:sz="0" w:space="0" w:color="auto"/>
                    <w:left w:val="none" w:sz="0" w:space="0" w:color="auto"/>
                    <w:bottom w:val="none" w:sz="0" w:space="0" w:color="auto"/>
                    <w:right w:val="none" w:sz="0" w:space="0" w:color="auto"/>
                  </w:divBdr>
                  <w:divsChild>
                    <w:div w:id="6586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78991">
      <w:bodyDiv w:val="1"/>
      <w:marLeft w:val="0"/>
      <w:marRight w:val="0"/>
      <w:marTop w:val="0"/>
      <w:marBottom w:val="0"/>
      <w:divBdr>
        <w:top w:val="none" w:sz="0" w:space="0" w:color="auto"/>
        <w:left w:val="none" w:sz="0" w:space="0" w:color="auto"/>
        <w:bottom w:val="none" w:sz="0" w:space="0" w:color="auto"/>
        <w:right w:val="none" w:sz="0" w:space="0" w:color="auto"/>
      </w:divBdr>
    </w:div>
    <w:div w:id="2112358664">
      <w:bodyDiv w:val="1"/>
      <w:marLeft w:val="0"/>
      <w:marRight w:val="0"/>
      <w:marTop w:val="0"/>
      <w:marBottom w:val="0"/>
      <w:divBdr>
        <w:top w:val="none" w:sz="0" w:space="0" w:color="auto"/>
        <w:left w:val="none" w:sz="0" w:space="0" w:color="auto"/>
        <w:bottom w:val="none" w:sz="0" w:space="0" w:color="auto"/>
        <w:right w:val="none" w:sz="0" w:space="0" w:color="auto"/>
      </w:divBdr>
      <w:divsChild>
        <w:div w:id="1905792712">
          <w:marLeft w:val="0"/>
          <w:marRight w:val="0"/>
          <w:marTop w:val="0"/>
          <w:marBottom w:val="0"/>
          <w:divBdr>
            <w:top w:val="none" w:sz="0" w:space="0" w:color="auto"/>
            <w:left w:val="none" w:sz="0" w:space="0" w:color="auto"/>
            <w:bottom w:val="none" w:sz="0" w:space="0" w:color="auto"/>
            <w:right w:val="none" w:sz="0" w:space="0" w:color="auto"/>
          </w:divBdr>
          <w:divsChild>
            <w:div w:id="1734347756">
              <w:marLeft w:val="0"/>
              <w:marRight w:val="0"/>
              <w:marTop w:val="0"/>
              <w:marBottom w:val="0"/>
              <w:divBdr>
                <w:top w:val="none" w:sz="0" w:space="0" w:color="auto"/>
                <w:left w:val="none" w:sz="0" w:space="0" w:color="auto"/>
                <w:bottom w:val="none" w:sz="0" w:space="0" w:color="auto"/>
                <w:right w:val="none" w:sz="0" w:space="0" w:color="auto"/>
              </w:divBdr>
              <w:divsChild>
                <w:div w:id="712969893">
                  <w:marLeft w:val="0"/>
                  <w:marRight w:val="0"/>
                  <w:marTop w:val="0"/>
                  <w:marBottom w:val="0"/>
                  <w:divBdr>
                    <w:top w:val="none" w:sz="0" w:space="0" w:color="auto"/>
                    <w:left w:val="none" w:sz="0" w:space="0" w:color="auto"/>
                    <w:bottom w:val="none" w:sz="0" w:space="0" w:color="auto"/>
                    <w:right w:val="none" w:sz="0" w:space="0" w:color="auto"/>
                  </w:divBdr>
                </w:div>
              </w:divsChild>
            </w:div>
            <w:div w:id="430055709">
              <w:marLeft w:val="0"/>
              <w:marRight w:val="0"/>
              <w:marTop w:val="0"/>
              <w:marBottom w:val="0"/>
              <w:divBdr>
                <w:top w:val="none" w:sz="0" w:space="0" w:color="auto"/>
                <w:left w:val="none" w:sz="0" w:space="0" w:color="auto"/>
                <w:bottom w:val="none" w:sz="0" w:space="0" w:color="auto"/>
                <w:right w:val="none" w:sz="0" w:space="0" w:color="auto"/>
              </w:divBdr>
              <w:divsChild>
                <w:div w:id="977298068">
                  <w:marLeft w:val="0"/>
                  <w:marRight w:val="0"/>
                  <w:marTop w:val="0"/>
                  <w:marBottom w:val="0"/>
                  <w:divBdr>
                    <w:top w:val="none" w:sz="0" w:space="0" w:color="auto"/>
                    <w:left w:val="none" w:sz="0" w:space="0" w:color="auto"/>
                    <w:bottom w:val="none" w:sz="0" w:space="0" w:color="auto"/>
                    <w:right w:val="none" w:sz="0" w:space="0" w:color="auto"/>
                  </w:divBdr>
                  <w:divsChild>
                    <w:div w:id="1726485967">
                      <w:marLeft w:val="0"/>
                      <w:marRight w:val="0"/>
                      <w:marTop w:val="0"/>
                      <w:marBottom w:val="0"/>
                      <w:divBdr>
                        <w:top w:val="none" w:sz="0" w:space="0" w:color="auto"/>
                        <w:left w:val="none" w:sz="0" w:space="0" w:color="auto"/>
                        <w:bottom w:val="none" w:sz="0" w:space="0" w:color="auto"/>
                        <w:right w:val="none" w:sz="0" w:space="0" w:color="auto"/>
                      </w:divBdr>
                    </w:div>
                  </w:divsChild>
                </w:div>
                <w:div w:id="1978292722">
                  <w:marLeft w:val="0"/>
                  <w:marRight w:val="0"/>
                  <w:marTop w:val="0"/>
                  <w:marBottom w:val="0"/>
                  <w:divBdr>
                    <w:top w:val="none" w:sz="0" w:space="0" w:color="auto"/>
                    <w:left w:val="none" w:sz="0" w:space="0" w:color="auto"/>
                    <w:bottom w:val="none" w:sz="0" w:space="0" w:color="auto"/>
                    <w:right w:val="none" w:sz="0" w:space="0" w:color="auto"/>
                  </w:divBdr>
                  <w:divsChild>
                    <w:div w:id="1647733844">
                      <w:marLeft w:val="0"/>
                      <w:marRight w:val="0"/>
                      <w:marTop w:val="0"/>
                      <w:marBottom w:val="0"/>
                      <w:divBdr>
                        <w:top w:val="none" w:sz="0" w:space="0" w:color="auto"/>
                        <w:left w:val="none" w:sz="0" w:space="0" w:color="auto"/>
                        <w:bottom w:val="none" w:sz="0" w:space="0" w:color="auto"/>
                        <w:right w:val="none" w:sz="0" w:space="0" w:color="auto"/>
                      </w:divBdr>
                    </w:div>
                  </w:divsChild>
                </w:div>
                <w:div w:id="162816401">
                  <w:marLeft w:val="0"/>
                  <w:marRight w:val="0"/>
                  <w:marTop w:val="0"/>
                  <w:marBottom w:val="0"/>
                  <w:divBdr>
                    <w:top w:val="none" w:sz="0" w:space="0" w:color="auto"/>
                    <w:left w:val="none" w:sz="0" w:space="0" w:color="auto"/>
                    <w:bottom w:val="none" w:sz="0" w:space="0" w:color="auto"/>
                    <w:right w:val="none" w:sz="0" w:space="0" w:color="auto"/>
                  </w:divBdr>
                  <w:divsChild>
                    <w:div w:id="1123813764">
                      <w:marLeft w:val="0"/>
                      <w:marRight w:val="0"/>
                      <w:marTop w:val="0"/>
                      <w:marBottom w:val="0"/>
                      <w:divBdr>
                        <w:top w:val="none" w:sz="0" w:space="0" w:color="auto"/>
                        <w:left w:val="none" w:sz="0" w:space="0" w:color="auto"/>
                        <w:bottom w:val="none" w:sz="0" w:space="0" w:color="auto"/>
                        <w:right w:val="none" w:sz="0" w:space="0" w:color="auto"/>
                      </w:divBdr>
                    </w:div>
                  </w:divsChild>
                </w:div>
                <w:div w:id="629090223">
                  <w:marLeft w:val="0"/>
                  <w:marRight w:val="0"/>
                  <w:marTop w:val="0"/>
                  <w:marBottom w:val="0"/>
                  <w:divBdr>
                    <w:top w:val="none" w:sz="0" w:space="0" w:color="auto"/>
                    <w:left w:val="none" w:sz="0" w:space="0" w:color="auto"/>
                    <w:bottom w:val="none" w:sz="0" w:space="0" w:color="auto"/>
                    <w:right w:val="none" w:sz="0" w:space="0" w:color="auto"/>
                  </w:divBdr>
                  <w:divsChild>
                    <w:div w:id="180973620">
                      <w:marLeft w:val="0"/>
                      <w:marRight w:val="0"/>
                      <w:marTop w:val="0"/>
                      <w:marBottom w:val="0"/>
                      <w:divBdr>
                        <w:top w:val="none" w:sz="0" w:space="0" w:color="auto"/>
                        <w:left w:val="none" w:sz="0" w:space="0" w:color="auto"/>
                        <w:bottom w:val="none" w:sz="0" w:space="0" w:color="auto"/>
                        <w:right w:val="none" w:sz="0" w:space="0" w:color="auto"/>
                      </w:divBdr>
                    </w:div>
                  </w:divsChild>
                </w:div>
                <w:div w:id="193690827">
                  <w:marLeft w:val="0"/>
                  <w:marRight w:val="0"/>
                  <w:marTop w:val="0"/>
                  <w:marBottom w:val="0"/>
                  <w:divBdr>
                    <w:top w:val="none" w:sz="0" w:space="0" w:color="auto"/>
                    <w:left w:val="none" w:sz="0" w:space="0" w:color="auto"/>
                    <w:bottom w:val="none" w:sz="0" w:space="0" w:color="auto"/>
                    <w:right w:val="none" w:sz="0" w:space="0" w:color="auto"/>
                  </w:divBdr>
                  <w:divsChild>
                    <w:div w:id="17052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8534">
              <w:marLeft w:val="0"/>
              <w:marRight w:val="0"/>
              <w:marTop w:val="0"/>
              <w:marBottom w:val="0"/>
              <w:divBdr>
                <w:top w:val="none" w:sz="0" w:space="0" w:color="auto"/>
                <w:left w:val="none" w:sz="0" w:space="0" w:color="auto"/>
                <w:bottom w:val="none" w:sz="0" w:space="0" w:color="auto"/>
                <w:right w:val="none" w:sz="0" w:space="0" w:color="auto"/>
              </w:divBdr>
              <w:divsChild>
                <w:div w:id="1636526988">
                  <w:marLeft w:val="0"/>
                  <w:marRight w:val="0"/>
                  <w:marTop w:val="0"/>
                  <w:marBottom w:val="0"/>
                  <w:divBdr>
                    <w:top w:val="none" w:sz="0" w:space="0" w:color="auto"/>
                    <w:left w:val="none" w:sz="0" w:space="0" w:color="auto"/>
                    <w:bottom w:val="none" w:sz="0" w:space="0" w:color="auto"/>
                    <w:right w:val="none" w:sz="0" w:space="0" w:color="auto"/>
                  </w:divBdr>
                  <w:divsChild>
                    <w:div w:id="146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2321">
              <w:marLeft w:val="0"/>
              <w:marRight w:val="0"/>
              <w:marTop w:val="0"/>
              <w:marBottom w:val="0"/>
              <w:divBdr>
                <w:top w:val="none" w:sz="0" w:space="0" w:color="auto"/>
                <w:left w:val="none" w:sz="0" w:space="0" w:color="auto"/>
                <w:bottom w:val="none" w:sz="0" w:space="0" w:color="auto"/>
                <w:right w:val="none" w:sz="0" w:space="0" w:color="auto"/>
              </w:divBdr>
              <w:divsChild>
                <w:div w:id="6430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ms.gov/files/document/physicians-and-other-clinicians-cms-flexibilities-fight-covid-19.pdf" TargetMode="External"/><Relationship Id="rId21" Type="http://schemas.openxmlformats.org/officeDocument/2006/relationships/hyperlink" Target="https://www.cms.gov/files/document/physicians-and-other-clinicians-cms-flexibilities-fight-covid-19.pdf" TargetMode="External"/><Relationship Id="rId42" Type="http://schemas.openxmlformats.org/officeDocument/2006/relationships/hyperlink" Target="https://www.mass.gov/topics/masshealth" TargetMode="External"/><Relationship Id="rId47" Type="http://schemas.openxmlformats.org/officeDocument/2006/relationships/hyperlink" Target="https://www.michigan.gov/mdhhs/" TargetMode="External"/><Relationship Id="rId63" Type="http://schemas.openxmlformats.org/officeDocument/2006/relationships/hyperlink" Target="https://medicaid.ohio.gov/" TargetMode="External"/><Relationship Id="rId68" Type="http://schemas.openxmlformats.org/officeDocument/2006/relationships/hyperlink" Target="https://oklahoma.gov/ohca.html" TargetMode="External"/><Relationship Id="rId84" Type="http://schemas.openxmlformats.org/officeDocument/2006/relationships/hyperlink" Target="https://www.dhs.wisconsin.gov/" TargetMode="External"/><Relationship Id="rId89" Type="http://schemas.openxmlformats.org/officeDocument/2006/relationships/hyperlink" Target="https://health.wyo.gov/" TargetMode="External"/><Relationship Id="rId16" Type="http://schemas.openxmlformats.org/officeDocument/2006/relationships/hyperlink" Target="https://www.cms.gov/medicare/medicare-fee-for-service-payment/physicianfeesched" TargetMode="External"/><Relationship Id="rId11" Type="http://schemas.openxmlformats.org/officeDocument/2006/relationships/hyperlink" Target="mailto:ebriggs@idsociety.org" TargetMode="External"/><Relationship Id="rId32" Type="http://schemas.openxmlformats.org/officeDocument/2006/relationships/hyperlink" Target="https://www.cms.gov/files/document/physicians-and-other-clinicians-cms-flexibilities-fight-covid-19.pdf" TargetMode="External"/><Relationship Id="rId37" Type="http://schemas.openxmlformats.org/officeDocument/2006/relationships/hyperlink" Target="https://www.medicaid.gov/resources-for-states/downloads/ant-2023-time-init-unwin-reltd-ren-02242023.pdf" TargetMode="External"/><Relationship Id="rId53" Type="http://schemas.openxmlformats.org/officeDocument/2006/relationships/hyperlink" Target="https://medicaid.ncdhhs.gov/" TargetMode="External"/><Relationship Id="rId58" Type="http://schemas.openxmlformats.org/officeDocument/2006/relationships/hyperlink" Target="https://www.applyforhelp.nd.gov/" TargetMode="External"/><Relationship Id="rId74" Type="http://schemas.openxmlformats.org/officeDocument/2006/relationships/hyperlink" Target="https://www.hca.wa.gov/" TargetMode="External"/><Relationship Id="rId79" Type="http://schemas.openxmlformats.org/officeDocument/2006/relationships/hyperlink" Target="https://dhhr.wv.gov/" TargetMode="External"/><Relationship Id="rId5" Type="http://schemas.openxmlformats.org/officeDocument/2006/relationships/numbering" Target="numbering.xml"/><Relationship Id="rId90" Type="http://schemas.openxmlformats.org/officeDocument/2006/relationships/hyperlink" Target="https://www.dc-medicaid.com/dcwebportal/home" TargetMode="External"/><Relationship Id="rId95" Type="http://schemas.openxmlformats.org/officeDocument/2006/relationships/hyperlink" Target="https://www.hhs.gov/about/news/2023/02/09/fact-sheet-covid-19-public-health-emergency-transition-roadmap.html" TargetMode="External"/><Relationship Id="rId22" Type="http://schemas.openxmlformats.org/officeDocument/2006/relationships/hyperlink" Target="https://www.cms.gov/files/document/physicians-and-other-clinicians-cms-flexibilities-fight-covid-19.pdf" TargetMode="External"/><Relationship Id="rId27" Type="http://schemas.openxmlformats.org/officeDocument/2006/relationships/hyperlink" Target="https://www.cms.gov/files/document/physicians-and-other-clinicians-cms-flexibilities-fight-covid-19.pdf" TargetMode="External"/><Relationship Id="rId43" Type="http://schemas.openxmlformats.org/officeDocument/2006/relationships/hyperlink" Target="https://www.hsd.state.nm.us/" TargetMode="External"/><Relationship Id="rId48" Type="http://schemas.openxmlformats.org/officeDocument/2006/relationships/hyperlink" Target="https://www.health.ny.gov/health_care/medicaid/changes/" TargetMode="External"/><Relationship Id="rId64" Type="http://schemas.openxmlformats.org/officeDocument/2006/relationships/hyperlink" Target="https://dvha.vermont.gov/" TargetMode="External"/><Relationship Id="rId69" Type="http://schemas.openxmlformats.org/officeDocument/2006/relationships/hyperlink" Target="https://www.dmas.virginia.gov/files/links/1169/DMAS%20Contact%20Information%20Document%20on%20WEBSITE%202019.pdf" TargetMode="External"/><Relationship Id="rId80" Type="http://schemas.openxmlformats.org/officeDocument/2006/relationships/hyperlink" Target="https://ahca.myflorida.com/" TargetMode="External"/><Relationship Id="rId85" Type="http://schemas.openxmlformats.org/officeDocument/2006/relationships/hyperlink" Target="https://dch.georgia.gov/" TargetMode="External"/><Relationship Id="rId3" Type="http://schemas.openxmlformats.org/officeDocument/2006/relationships/customXml" Target="../customXml/item3.xml"/><Relationship Id="rId12" Type="http://schemas.openxmlformats.org/officeDocument/2006/relationships/hyperlink" Target="https://www.cms.gov/files/document/physicians-and-other-clinicians-cms-flexibilities-fight-covid-19.pdf" TargetMode="External"/><Relationship Id="rId17" Type="http://schemas.openxmlformats.org/officeDocument/2006/relationships/hyperlink" Target="https://telehealth.hhs.gov/providers/policy-changes-during-the-covid-19-public-health-emergency/policy-changes-after-the-covid-19-public-health-emergency" TargetMode="External"/><Relationship Id="rId25" Type="http://schemas.openxmlformats.org/officeDocument/2006/relationships/hyperlink" Target="https://www.hhs.gov/about/news/2023/02/09/fact-sheet-covid-19-public-health-emergency-transition-roadmap.html" TargetMode="External"/><Relationship Id="rId33" Type="http://schemas.openxmlformats.org/officeDocument/2006/relationships/hyperlink" Target="https://www.cms.gov/files/document/physicians-and-other-clinicians-cms-flexibilities-fight-covid-19.pdf" TargetMode="External"/><Relationship Id="rId38" Type="http://schemas.openxmlformats.org/officeDocument/2006/relationships/hyperlink" Target="https://www.kff.org/medicaid/issue-brief/10-things-to-know-about-the-unwinding-of-the-medicaid-continuous-enrollment-provision/" TargetMode="External"/><Relationship Id="rId46" Type="http://schemas.openxmlformats.org/officeDocument/2006/relationships/hyperlink" Target="https://healthandwelfare.idaho.gov/" TargetMode="External"/><Relationship Id="rId59" Type="http://schemas.openxmlformats.org/officeDocument/2006/relationships/hyperlink" Target="https://medicaid.utah.gov/" TargetMode="External"/><Relationship Id="rId67" Type="http://schemas.openxmlformats.org/officeDocument/2006/relationships/hyperlink" Target="https://dphhs.mt.gov/" TargetMode="External"/><Relationship Id="rId20" Type="http://schemas.openxmlformats.org/officeDocument/2006/relationships/hyperlink" Target="https://www.hhs.gov/about/news/2023/02/09/fact-sheet-covid-19-public-health-emergency-transition-roadmap.html" TargetMode="External"/><Relationship Id="rId41" Type="http://schemas.openxmlformats.org/officeDocument/2006/relationships/hyperlink" Target="https://medquest.hawaii.gov/" TargetMode="External"/><Relationship Id="rId54" Type="http://schemas.openxmlformats.org/officeDocument/2006/relationships/hyperlink" Target="https://hhs.texas.gov/" TargetMode="External"/><Relationship Id="rId62" Type="http://schemas.openxmlformats.org/officeDocument/2006/relationships/hyperlink" Target="https://dss.mo.gov/" TargetMode="External"/><Relationship Id="rId70" Type="http://schemas.openxmlformats.org/officeDocument/2006/relationships/hyperlink" Target="https://portal.ct.gov/Services/Health-and-Human-Services" TargetMode="External"/><Relationship Id="rId75" Type="http://schemas.openxmlformats.org/officeDocument/2006/relationships/hyperlink" Target="https://dhss.delaware.gov/dhss/dmma/" TargetMode="External"/><Relationship Id="rId83" Type="http://schemas.openxmlformats.org/officeDocument/2006/relationships/hyperlink" Target="http://www.eohhs.ri.gov/" TargetMode="External"/><Relationship Id="rId88" Type="http://schemas.openxmlformats.org/officeDocument/2006/relationships/hyperlink" Target="https://www.scdhhs.gov/" TargetMode="External"/><Relationship Id="rId91" Type="http://schemas.openxmlformats.org/officeDocument/2006/relationships/hyperlink" Target="https://dphss.guam.gov/division-of-public-welfare/" TargetMode="External"/><Relationship Id="rId96" Type="http://schemas.openxmlformats.org/officeDocument/2006/relationships/hyperlink" Target="https://www.cms.gov/files/document/physicians-and-other-clinicians-cms-flexibilities-fight-covid-19.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ms.gov/files/document/physicians-and-other-clinicians-cms-flexibilities-fight-covid-19.pdf" TargetMode="External"/><Relationship Id="rId23" Type="http://schemas.openxmlformats.org/officeDocument/2006/relationships/hyperlink" Target="https://www.cms.gov/files/document/physicians-and-other-clinicians-cms-flexibilities-fight-covid-19.pdf" TargetMode="External"/><Relationship Id="rId28" Type="http://schemas.openxmlformats.org/officeDocument/2006/relationships/hyperlink" Target="https://www.cms.gov/files/document/physicians-and-other-clinicians-cms-flexibilities-fight-covid-19.pdf" TargetMode="External"/><Relationship Id="rId36" Type="http://schemas.openxmlformats.org/officeDocument/2006/relationships/hyperlink" Target="https://www.medicaid.gov/resources-for-states/coronavirus-disease-2019-covid-19/unwinding-and-returning-regular-operations-after-covid-19/index.html" TargetMode="External"/><Relationship Id="rId49" Type="http://schemas.openxmlformats.org/officeDocument/2006/relationships/hyperlink" Target="https://www.tn.gov/health.html" TargetMode="External"/><Relationship Id="rId57" Type="http://schemas.openxmlformats.org/officeDocument/2006/relationships/hyperlink" Target="https://medicaid.ms.gov/" TargetMode="External"/><Relationship Id="rId10" Type="http://schemas.openxmlformats.org/officeDocument/2006/relationships/endnotes" Target="endnotes.xml"/><Relationship Id="rId31" Type="http://schemas.openxmlformats.org/officeDocument/2006/relationships/hyperlink" Target="https://www.cms.gov/files/document/physicians-and-other-clinicians-cms-flexibilities-fight-covid-19.pdf" TargetMode="External"/><Relationship Id="rId44" Type="http://schemas.openxmlformats.org/officeDocument/2006/relationships/hyperlink" Target="https://dss.sd.gov/" TargetMode="External"/><Relationship Id="rId52" Type="http://schemas.openxmlformats.org/officeDocument/2006/relationships/hyperlink" Target="https://mn.gov/dhs/" TargetMode="External"/><Relationship Id="rId60" Type="http://schemas.openxmlformats.org/officeDocument/2006/relationships/hyperlink" Target="https://www.dhcs.ca.gov/" TargetMode="External"/><Relationship Id="rId65" Type="http://schemas.openxmlformats.org/officeDocument/2006/relationships/hyperlink" Target="https://www.healthfirstcolorado.com/" TargetMode="External"/><Relationship Id="rId73" Type="http://schemas.openxmlformats.org/officeDocument/2006/relationships/hyperlink" Target="https://healthcare.oregon.gov/" TargetMode="External"/><Relationship Id="rId78" Type="http://schemas.openxmlformats.org/officeDocument/2006/relationships/hyperlink" Target="https://www.dhs.pa.gov/" TargetMode="External"/><Relationship Id="rId81" Type="http://schemas.openxmlformats.org/officeDocument/2006/relationships/hyperlink" Target="https://www.maine.gov/dhhs/" TargetMode="External"/><Relationship Id="rId86" Type="http://schemas.openxmlformats.org/officeDocument/2006/relationships/hyperlink" Target="https://health.maryland.gov/" TargetMode="External"/><Relationship Id="rId94" Type="http://schemas.openxmlformats.org/officeDocument/2006/relationships/hyperlink" Target="http://dhs.gov.vi/"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ms.gov/files/document/physicians-and-other-clinicians-cms-flexibilities-fight-covid-19.pdf" TargetMode="External"/><Relationship Id="rId18" Type="http://schemas.openxmlformats.org/officeDocument/2006/relationships/hyperlink" Target="https://oig.hhs.gov/documents/special-advisory-bulletins/960/policy-telehealth-2020.pdf" TargetMode="External"/><Relationship Id="rId39" Type="http://schemas.openxmlformats.org/officeDocument/2006/relationships/hyperlink" Target="https://www.macpac.gov/topics/medicaids-response-to-covid-19/" TargetMode="External"/><Relationship Id="rId34" Type="http://schemas.openxmlformats.org/officeDocument/2006/relationships/hyperlink" Target="https://www.cms.gov/files/document/physicians-and-other-clinicians-cms-flexibilities-fight-covid-19.pdf" TargetMode="External"/><Relationship Id="rId50" Type="http://schemas.openxmlformats.org/officeDocument/2006/relationships/hyperlink" Target="https://azahcccs.gov/" TargetMode="External"/><Relationship Id="rId55" Type="http://schemas.openxmlformats.org/officeDocument/2006/relationships/hyperlink" Target="https://humanservices.arkansas.gov/" TargetMode="External"/><Relationship Id="rId76" Type="http://schemas.openxmlformats.org/officeDocument/2006/relationships/hyperlink" Target="https://ldh.la.gov/subhome/48"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chfs.ky.gov/" TargetMode="External"/><Relationship Id="rId92" Type="http://schemas.openxmlformats.org/officeDocument/2006/relationships/hyperlink" Target="http://medicaid.cnmi.mp/index.php/contact-us" TargetMode="External"/><Relationship Id="rId2" Type="http://schemas.openxmlformats.org/officeDocument/2006/relationships/customXml" Target="../customXml/item2.xml"/><Relationship Id="rId29" Type="http://schemas.openxmlformats.org/officeDocument/2006/relationships/hyperlink" Target="https://www.cms.gov/files/document/physicians-and-other-clinicians-cms-flexibilities-fight-covid-19.pdf" TargetMode="External"/><Relationship Id="rId24" Type="http://schemas.openxmlformats.org/officeDocument/2006/relationships/hyperlink" Target="https://www.hhs.gov/about/news/2023/04/18/fact-sheet-hhs-announces-hhs-bridge-access-program-covid-19-vaccines-treatments-maintain-access-covid-19-care-uninsured.html" TargetMode="External"/><Relationship Id="rId40" Type="http://schemas.openxmlformats.org/officeDocument/2006/relationships/hyperlink" Target="https://medicaid.alabama.gov/" TargetMode="External"/><Relationship Id="rId45" Type="http://schemas.openxmlformats.org/officeDocument/2006/relationships/hyperlink" Target="https://dhss.alaska.gov/Pages/default.aspx" TargetMode="External"/><Relationship Id="rId66" Type="http://schemas.openxmlformats.org/officeDocument/2006/relationships/hyperlink" Target="https://kancare.ks.gov/" TargetMode="External"/><Relationship Id="rId87" Type="http://schemas.openxmlformats.org/officeDocument/2006/relationships/hyperlink" Target="https://www.state.nj.us/humanservices/" TargetMode="External"/><Relationship Id="rId61" Type="http://schemas.openxmlformats.org/officeDocument/2006/relationships/hyperlink" Target="https://dhs.iowa.gov/ime/members" TargetMode="External"/><Relationship Id="rId82" Type="http://schemas.openxmlformats.org/officeDocument/2006/relationships/hyperlink" Target="https://www.dhhs.nh.gov/" TargetMode="External"/><Relationship Id="rId19" Type="http://schemas.openxmlformats.org/officeDocument/2006/relationships/hyperlink" Target="https://oig.hhs.gov/coronavirus/covid-flex-expiration.asp" TargetMode="External"/><Relationship Id="rId14" Type="http://schemas.openxmlformats.org/officeDocument/2006/relationships/hyperlink" Target="https://www.cms.gov/files/document/physicians-and-other-clinicians-cms-flexibilities-fight-covid-19.pdf" TargetMode="External"/><Relationship Id="rId30" Type="http://schemas.openxmlformats.org/officeDocument/2006/relationships/hyperlink" Target="https://www.cms.gov/files/document/physicians-and-other-clinicians-cms-flexibilities-fight-covid-19.pdf" TargetMode="External"/><Relationship Id="rId35" Type="http://schemas.openxmlformats.org/officeDocument/2006/relationships/hyperlink" Target="https://www.hhs.gov/about/news/2023/02/09/fact-sheet-covid-19-public-health-emergency-transition-roadmap.html" TargetMode="External"/><Relationship Id="rId56" Type="http://schemas.openxmlformats.org/officeDocument/2006/relationships/hyperlink" Target="https://www.in.gov/fssa/dfr/" TargetMode="External"/><Relationship Id="rId77" Type="http://schemas.openxmlformats.org/officeDocument/2006/relationships/hyperlink" Target="http://dhhs.nv.gov/" TargetMode="External"/><Relationship Id="rId8" Type="http://schemas.openxmlformats.org/officeDocument/2006/relationships/webSettings" Target="webSettings.xml"/><Relationship Id="rId51" Type="http://schemas.openxmlformats.org/officeDocument/2006/relationships/hyperlink" Target="https://www.illinois.gov/hfs/Pages/default.aspx" TargetMode="External"/><Relationship Id="rId72" Type="http://schemas.openxmlformats.org/officeDocument/2006/relationships/hyperlink" Target="https://dhhs.ne.gov/" TargetMode="External"/><Relationship Id="rId93" Type="http://schemas.openxmlformats.org/officeDocument/2006/relationships/hyperlink" Target="https://medicaid.pr.gov/" TargetMode="External"/><Relationship Id="rId9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119FE1D884A14C8C82DE43ED70661E" ma:contentTypeVersion="15" ma:contentTypeDescription="Create a new document." ma:contentTypeScope="" ma:versionID="4ee988130db5af8eb32838c3baf9682d">
  <xsd:schema xmlns:xsd="http://www.w3.org/2001/XMLSchema" xmlns:xs="http://www.w3.org/2001/XMLSchema" xmlns:p="http://schemas.microsoft.com/office/2006/metadata/properties" xmlns:ns2="6fd949bc-c295-4e79-bd92-2467e55e0461" xmlns:ns3="b8d96b3c-9a5b-4f75-8def-b02c05b99d45" targetNamespace="http://schemas.microsoft.com/office/2006/metadata/properties" ma:root="true" ma:fieldsID="c8b2d4f08d9359bbefad35ad5ad56108" ns2:_="" ns3:_="">
    <xsd:import namespace="6fd949bc-c295-4e79-bd92-2467e55e0461"/>
    <xsd:import namespace="b8d96b3c-9a5b-4f75-8def-b02c05b99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949bc-c295-4e79-bd92-2467e55e04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be5692-c9b3-49fb-a9d7-7df84573f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d96b3c-9a5b-4f75-8def-b02c05b99d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ef4fcf-39bd-4771-ad24-5730c881b611}" ma:internalName="TaxCatchAll" ma:showField="CatchAllData" ma:web="b8d96b3c-9a5b-4f75-8def-b02c05b99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d96b3c-9a5b-4f75-8def-b02c05b99d45" xsi:nil="true"/>
    <lcf76f155ced4ddcb4097134ff3c332f xmlns="6fd949bc-c295-4e79-bd92-2467e55e04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4F83-B869-4988-9403-23BF7EB4FC13}">
  <ds:schemaRefs>
    <ds:schemaRef ds:uri="http://schemas.microsoft.com/sharepoint/v3/contenttype/forms"/>
  </ds:schemaRefs>
</ds:datastoreItem>
</file>

<file path=customXml/itemProps2.xml><?xml version="1.0" encoding="utf-8"?>
<ds:datastoreItem xmlns:ds="http://schemas.openxmlformats.org/officeDocument/2006/customXml" ds:itemID="{8F4B7155-7901-4EF3-981D-C056E7BF1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949bc-c295-4e79-bd92-2467e55e0461"/>
    <ds:schemaRef ds:uri="b8d96b3c-9a5b-4f75-8def-b02c05b99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AE58A-5B01-4CFE-82FE-3AF0DD75B285}">
  <ds:schemaRefs>
    <ds:schemaRef ds:uri="http://schemas.microsoft.com/office/2006/metadata/properties"/>
    <ds:schemaRef ds:uri="http://schemas.microsoft.com/office/infopath/2007/PartnerControls"/>
    <ds:schemaRef ds:uri="b8d96b3c-9a5b-4f75-8def-b02c05b99d45"/>
    <ds:schemaRef ds:uri="6fd949bc-c295-4e79-bd92-2467e55e0461"/>
  </ds:schemaRefs>
</ds:datastoreItem>
</file>

<file path=customXml/itemProps4.xml><?xml version="1.0" encoding="utf-8"?>
<ds:datastoreItem xmlns:ds="http://schemas.openxmlformats.org/officeDocument/2006/customXml" ds:itemID="{67C28247-28F1-B245-8E87-A509049B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5339</Words>
  <Characters>30437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Graham</cp:lastModifiedBy>
  <cp:revision>5</cp:revision>
  <cp:lastPrinted>2023-04-24T17:58:00Z</cp:lastPrinted>
  <dcterms:created xsi:type="dcterms:W3CDTF">2023-04-24T17:36:00Z</dcterms:created>
  <dcterms:modified xsi:type="dcterms:W3CDTF">2023-04-24T18:07:00Z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0x010100B2119FE1D884A14C8C82DE43ED70661E</vt:lpwstr>
  </property>
  <property fmtid="{D5CDD505-2E9C-101B-9397-08002B2CF9AE}" pid="3" name="MediaServiceImageTags">
    <vt:lpwstr/>
  </property>
</Properties>
</file>